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B279" w14:textId="77777777" w:rsidR="008E4DDF" w:rsidRPr="001706D0" w:rsidRDefault="008E4DDF" w:rsidP="000C4980">
      <w:pPr>
        <w:pStyle w:val="papertitle"/>
        <w:spacing w:before="240"/>
        <w:rPr>
          <w:sz w:val="34"/>
          <w:szCs w:val="34"/>
        </w:rPr>
      </w:pPr>
      <w:r w:rsidRPr="001706D0">
        <w:rPr>
          <w:sz w:val="34"/>
          <w:szCs w:val="34"/>
        </w:rPr>
        <w:t>Conference contribution title</w:t>
      </w:r>
    </w:p>
    <w:p w14:paraId="1E4B75C5" w14:textId="77777777" w:rsidR="008E4DDF" w:rsidRPr="001706D0" w:rsidRDefault="008E4DDF" w:rsidP="008E4DDF">
      <w:pPr>
        <w:pStyle w:val="author"/>
        <w:rPr>
          <w:sz w:val="24"/>
          <w:szCs w:val="24"/>
        </w:rPr>
      </w:pPr>
      <w:r w:rsidRPr="001706D0">
        <w:rPr>
          <w:b/>
          <w:bCs/>
          <w:sz w:val="24"/>
          <w:szCs w:val="24"/>
        </w:rPr>
        <w:t>Jan Kowalski</w:t>
      </w:r>
      <w:r w:rsidRPr="001706D0">
        <w:rPr>
          <w:sz w:val="24"/>
          <w:szCs w:val="24"/>
          <w:vertAlign w:val="superscript"/>
        </w:rPr>
        <w:t>1</w:t>
      </w:r>
      <w:r w:rsidRPr="001706D0">
        <w:rPr>
          <w:rStyle w:val="ORCID"/>
          <w:sz w:val="24"/>
          <w:szCs w:val="24"/>
        </w:rPr>
        <w:t>[0000-0000-0000-0000]</w:t>
      </w:r>
      <w:r w:rsidRPr="001706D0">
        <w:rPr>
          <w:sz w:val="24"/>
          <w:szCs w:val="24"/>
        </w:rPr>
        <w:t xml:space="preserve">, </w:t>
      </w:r>
      <w:r w:rsidRPr="001706D0">
        <w:rPr>
          <w:b/>
          <w:bCs/>
          <w:sz w:val="24"/>
          <w:szCs w:val="24"/>
        </w:rPr>
        <w:t>Stanisław Nowak</w:t>
      </w:r>
      <w:r w:rsidRPr="001706D0">
        <w:rPr>
          <w:sz w:val="24"/>
          <w:szCs w:val="24"/>
          <w:vertAlign w:val="superscript"/>
        </w:rPr>
        <w:t>2</w:t>
      </w:r>
      <w:r w:rsidRPr="001706D0">
        <w:rPr>
          <w:rStyle w:val="ORCID"/>
          <w:sz w:val="24"/>
          <w:szCs w:val="24"/>
        </w:rPr>
        <w:t>[0000-0000-0000-0000]</w:t>
      </w:r>
    </w:p>
    <w:p w14:paraId="4FF1C7AE" w14:textId="77777777" w:rsidR="008E4DDF" w:rsidRPr="001706D0" w:rsidRDefault="008E4DDF" w:rsidP="008E4DDF">
      <w:pPr>
        <w:pStyle w:val="address"/>
        <w:rPr>
          <w:i/>
          <w:iCs/>
          <w:sz w:val="24"/>
          <w:szCs w:val="28"/>
        </w:rPr>
      </w:pPr>
      <w:r w:rsidRPr="001706D0">
        <w:rPr>
          <w:sz w:val="24"/>
          <w:szCs w:val="28"/>
          <w:vertAlign w:val="superscript"/>
        </w:rPr>
        <w:t>1</w:t>
      </w:r>
      <w:r w:rsidRPr="001706D0">
        <w:rPr>
          <w:sz w:val="24"/>
          <w:szCs w:val="28"/>
        </w:rPr>
        <w:t xml:space="preserve"> </w:t>
      </w:r>
      <w:r w:rsidR="00DD5E17">
        <w:rPr>
          <w:i/>
          <w:iCs/>
          <w:sz w:val="24"/>
          <w:szCs w:val="28"/>
        </w:rPr>
        <w:t>Warsaw</w:t>
      </w:r>
      <w:r w:rsidRPr="001706D0">
        <w:rPr>
          <w:i/>
          <w:iCs/>
          <w:sz w:val="24"/>
          <w:szCs w:val="28"/>
        </w:rPr>
        <w:t xml:space="preserve"> University of Technology</w:t>
      </w:r>
    </w:p>
    <w:p w14:paraId="09864923" w14:textId="77777777" w:rsidR="008E4DDF" w:rsidRPr="001706D0" w:rsidRDefault="00DD5E17" w:rsidP="008E4DDF">
      <w:pPr>
        <w:pStyle w:val="address"/>
        <w:rPr>
          <w:i/>
          <w:iCs/>
          <w:sz w:val="24"/>
          <w:szCs w:val="28"/>
        </w:rPr>
      </w:pPr>
      <w:r w:rsidRPr="00DD5E17">
        <w:rPr>
          <w:i/>
          <w:iCs/>
          <w:sz w:val="24"/>
          <w:szCs w:val="28"/>
        </w:rPr>
        <w:t>Faculty of Mathematics and Information Science</w:t>
      </w:r>
    </w:p>
    <w:p w14:paraId="7FB07EE8" w14:textId="77777777" w:rsidR="008E4DDF" w:rsidRPr="001706D0" w:rsidRDefault="00DD5E17" w:rsidP="008E4DDF">
      <w:pPr>
        <w:pStyle w:val="address"/>
        <w:rPr>
          <w:i/>
          <w:iCs/>
          <w:sz w:val="24"/>
          <w:szCs w:val="28"/>
          <w:lang w:val="pl-PL"/>
        </w:rPr>
      </w:pPr>
      <w:r w:rsidRPr="00DD5E17">
        <w:rPr>
          <w:i/>
          <w:iCs/>
          <w:sz w:val="24"/>
          <w:szCs w:val="28"/>
          <w:lang w:val="pl-PL"/>
        </w:rPr>
        <w:t>Koszykowa 75, 00-662 Warsaw, Poland</w:t>
      </w:r>
    </w:p>
    <w:p w14:paraId="31017727" w14:textId="77777777" w:rsidR="008E4DDF" w:rsidRPr="001706D0" w:rsidRDefault="00000000" w:rsidP="008E4DDF">
      <w:pPr>
        <w:pStyle w:val="address"/>
        <w:rPr>
          <w:i/>
          <w:iCs/>
          <w:sz w:val="24"/>
          <w:szCs w:val="28"/>
          <w:lang w:val="pl-PL"/>
        </w:rPr>
      </w:pPr>
      <w:hyperlink r:id="rId8" w:history="1">
        <w:r w:rsidR="008E4DDF" w:rsidRPr="001706D0">
          <w:rPr>
            <w:rStyle w:val="Hipercze"/>
            <w:i/>
            <w:iCs/>
            <w:sz w:val="24"/>
            <w:szCs w:val="28"/>
            <w:lang w:val="pl-PL"/>
          </w:rPr>
          <w:t>jan.kowalski@example.com</w:t>
        </w:r>
      </w:hyperlink>
    </w:p>
    <w:p w14:paraId="2044EA29" w14:textId="77777777" w:rsidR="008E4DDF" w:rsidRPr="001706D0" w:rsidRDefault="008E4DDF" w:rsidP="008E4DDF">
      <w:pPr>
        <w:pStyle w:val="address"/>
        <w:rPr>
          <w:i/>
          <w:iCs/>
          <w:sz w:val="24"/>
          <w:szCs w:val="28"/>
        </w:rPr>
      </w:pPr>
      <w:r>
        <w:rPr>
          <w:sz w:val="24"/>
          <w:szCs w:val="28"/>
          <w:vertAlign w:val="superscript"/>
        </w:rPr>
        <w:t>2</w:t>
      </w:r>
      <w:r w:rsidRPr="001706D0">
        <w:rPr>
          <w:sz w:val="24"/>
          <w:szCs w:val="28"/>
        </w:rPr>
        <w:t xml:space="preserve"> </w:t>
      </w:r>
      <w:r w:rsidRPr="001706D0">
        <w:rPr>
          <w:i/>
          <w:iCs/>
          <w:sz w:val="24"/>
          <w:szCs w:val="28"/>
        </w:rPr>
        <w:t>Other University</w:t>
      </w:r>
    </w:p>
    <w:p w14:paraId="0ED7FC51" w14:textId="77777777" w:rsidR="008E4DDF" w:rsidRDefault="008E4DDF" w:rsidP="008E4DDF">
      <w:pPr>
        <w:pStyle w:val="address"/>
        <w:rPr>
          <w:i/>
          <w:iCs/>
          <w:sz w:val="24"/>
          <w:szCs w:val="28"/>
        </w:rPr>
      </w:pPr>
      <w:r w:rsidRPr="001706D0">
        <w:rPr>
          <w:i/>
          <w:iCs/>
          <w:sz w:val="24"/>
          <w:szCs w:val="28"/>
        </w:rPr>
        <w:t>Institute of Computer Science</w:t>
      </w:r>
    </w:p>
    <w:p w14:paraId="0EF7659A" w14:textId="77777777" w:rsidR="008E4DDF" w:rsidRPr="001706D0" w:rsidRDefault="008E4DDF" w:rsidP="008E4DDF">
      <w:pPr>
        <w:pStyle w:val="address"/>
        <w:rPr>
          <w:i/>
          <w:iCs/>
          <w:sz w:val="24"/>
          <w:szCs w:val="28"/>
        </w:rPr>
      </w:pPr>
      <w:r w:rsidRPr="001706D0">
        <w:rPr>
          <w:i/>
          <w:iCs/>
          <w:sz w:val="24"/>
          <w:szCs w:val="28"/>
        </w:rPr>
        <w:t>Street 15, 00-000 City, Country</w:t>
      </w:r>
    </w:p>
    <w:p w14:paraId="440184EF" w14:textId="77777777" w:rsidR="008E4DDF" w:rsidRPr="00851557" w:rsidRDefault="008E4DDF" w:rsidP="007E7D73">
      <w:pPr>
        <w:pStyle w:val="address"/>
        <w:rPr>
          <w:i/>
          <w:iCs/>
          <w:sz w:val="24"/>
          <w:szCs w:val="28"/>
        </w:rPr>
      </w:pPr>
      <w:r w:rsidRPr="001706D0">
        <w:rPr>
          <w:i/>
          <w:iCs/>
          <w:sz w:val="24"/>
          <w:szCs w:val="28"/>
        </w:rPr>
        <w:t>stanislaw.nowak@example.com</w:t>
      </w:r>
    </w:p>
    <w:p w14:paraId="0955A350" w14:textId="77777777" w:rsidR="008E4DDF" w:rsidRPr="00851557" w:rsidRDefault="008E4DDF" w:rsidP="007E7D73">
      <w:pPr>
        <w:pStyle w:val="abstract"/>
        <w:spacing w:before="0" w:after="0"/>
        <w:ind w:firstLine="0"/>
        <w:rPr>
          <w:sz w:val="20"/>
        </w:rPr>
      </w:pPr>
      <w:r w:rsidRPr="00851557">
        <w:rPr>
          <w:b/>
          <w:bCs/>
          <w:sz w:val="20"/>
        </w:rPr>
        <w:t xml:space="preserve">Abstract. </w:t>
      </w:r>
      <w:r w:rsidRPr="00851557">
        <w:rPr>
          <w:i/>
          <w:iCs/>
          <w:sz w:val="20"/>
        </w:rPr>
        <w:t>The abstract goes here.</w:t>
      </w:r>
    </w:p>
    <w:p w14:paraId="3566E96A" w14:textId="77777777" w:rsidR="008E4DDF" w:rsidRPr="00851557" w:rsidRDefault="008E4DDF" w:rsidP="008E4DDF">
      <w:pPr>
        <w:pStyle w:val="keywords"/>
        <w:spacing w:before="0"/>
        <w:rPr>
          <w:sz w:val="20"/>
        </w:rPr>
      </w:pPr>
      <w:r w:rsidRPr="00851557">
        <w:rPr>
          <w:b/>
          <w:bCs/>
          <w:sz w:val="20"/>
        </w:rPr>
        <w:t>Keywords:</w:t>
      </w:r>
      <w:r w:rsidRPr="00851557">
        <w:rPr>
          <w:sz w:val="20"/>
        </w:rPr>
        <w:t xml:space="preserve"> </w:t>
      </w:r>
      <w:r w:rsidRPr="00851557">
        <w:rPr>
          <w:i/>
          <w:iCs/>
          <w:sz w:val="20"/>
        </w:rPr>
        <w:t>computer games, artificial intelligence</w:t>
      </w:r>
    </w:p>
    <w:p w14:paraId="48154792" w14:textId="77777777" w:rsidR="008E4DDF" w:rsidRPr="00851557" w:rsidRDefault="008E4DDF" w:rsidP="008E4DDF">
      <w:pPr>
        <w:pStyle w:val="heading1"/>
        <w:numPr>
          <w:ilvl w:val="0"/>
          <w:numId w:val="0"/>
        </w:numPr>
        <w:ind w:left="567" w:hanging="567"/>
        <w:rPr>
          <w:sz w:val="30"/>
          <w:szCs w:val="30"/>
        </w:rPr>
      </w:pPr>
      <w:r w:rsidRPr="00851557">
        <w:rPr>
          <w:sz w:val="30"/>
          <w:szCs w:val="30"/>
        </w:rPr>
        <w:t>1. Introduction</w:t>
      </w:r>
    </w:p>
    <w:p w14:paraId="7367917D" w14:textId="77777777" w:rsidR="008E4DDF" w:rsidRPr="00851557" w:rsidRDefault="008E4DDF" w:rsidP="008F25E5">
      <w:pPr>
        <w:rPr>
          <w:sz w:val="22"/>
          <w:szCs w:val="22"/>
        </w:rPr>
      </w:pPr>
      <w:r w:rsidRPr="00851557">
        <w:rPr>
          <w:sz w:val="22"/>
          <w:szCs w:val="22"/>
        </w:rPr>
        <w:t xml:space="preserve">This demo file is intended to serve as a “starter file” for conference papers produced under </w:t>
      </w:r>
      <w:r w:rsidR="008F25E5">
        <w:rPr>
          <w:sz w:val="22"/>
          <w:szCs w:val="22"/>
        </w:rPr>
        <w:t xml:space="preserve">MS Word. </w:t>
      </w:r>
      <w:r w:rsidRPr="00851557">
        <w:rPr>
          <w:sz w:val="22"/>
          <w:szCs w:val="22"/>
        </w:rPr>
        <w:t>Margins, column widths, line spacing, and type styles are built-in; examples of the type styles are provided throughout this document. The various table text styles are provided. The formatter will need to create these components, incorporating the applicable criteria that follow. 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w:t>
      </w:r>
    </w:p>
    <w:p w14:paraId="6745665D" w14:textId="77777777" w:rsidR="008E4DDF" w:rsidRPr="00262F04" w:rsidRDefault="008E4DDF" w:rsidP="008E4DDF">
      <w:pPr>
        <w:pStyle w:val="heading1"/>
        <w:numPr>
          <w:ilvl w:val="0"/>
          <w:numId w:val="0"/>
        </w:numPr>
        <w:ind w:left="567" w:hanging="567"/>
        <w:rPr>
          <w:sz w:val="30"/>
          <w:szCs w:val="30"/>
        </w:rPr>
      </w:pPr>
      <w:r w:rsidRPr="00262F04">
        <w:rPr>
          <w:sz w:val="30"/>
          <w:szCs w:val="30"/>
        </w:rPr>
        <w:t>2. Some Extra Notes and Examples</w:t>
      </w:r>
    </w:p>
    <w:p w14:paraId="6C74E4A9" w14:textId="77777777" w:rsidR="008E4DDF" w:rsidRPr="00262F04" w:rsidRDefault="008E4DDF" w:rsidP="008E4DDF">
      <w:pPr>
        <w:pStyle w:val="p1a"/>
        <w:ind w:firstLine="227"/>
        <w:rPr>
          <w:sz w:val="22"/>
          <w:szCs w:val="22"/>
        </w:rPr>
      </w:pPr>
      <w:r w:rsidRPr="00262F04">
        <w:rPr>
          <w:sz w:val="22"/>
          <w:szCs w:val="22"/>
        </w:rPr>
        <w:t>In this section you may find some important notes and examples of figures, tables and equations.</w:t>
      </w:r>
    </w:p>
    <w:p w14:paraId="5B75104B" w14:textId="77777777" w:rsidR="008E4DDF" w:rsidRPr="00262F04" w:rsidRDefault="008E4DDF" w:rsidP="00A61FC7">
      <w:pPr>
        <w:pStyle w:val="heading2"/>
        <w:numPr>
          <w:ilvl w:val="0"/>
          <w:numId w:val="0"/>
        </w:numPr>
        <w:tabs>
          <w:tab w:val="right" w:pos="7126"/>
        </w:tabs>
        <w:ind w:left="567" w:hanging="567"/>
        <w:rPr>
          <w:sz w:val="24"/>
          <w:szCs w:val="24"/>
        </w:rPr>
      </w:pPr>
      <w:r w:rsidRPr="00262F04">
        <w:rPr>
          <w:sz w:val="24"/>
          <w:szCs w:val="24"/>
        </w:rPr>
        <w:lastRenderedPageBreak/>
        <w:t>2.1. Abbreviations and Acronyms</w:t>
      </w:r>
      <w:r w:rsidR="00A61FC7">
        <w:rPr>
          <w:sz w:val="24"/>
          <w:szCs w:val="24"/>
        </w:rPr>
        <w:tab/>
      </w:r>
    </w:p>
    <w:p w14:paraId="34FEF27A" w14:textId="77777777" w:rsidR="008E4DDF" w:rsidRPr="00CB442D" w:rsidRDefault="008E4DDF" w:rsidP="008E4DDF">
      <w:pPr>
        <w:rPr>
          <w:sz w:val="22"/>
          <w:szCs w:val="22"/>
        </w:rPr>
      </w:pPr>
      <w:r w:rsidRPr="00CB442D">
        <w:rPr>
          <w:sz w:val="22"/>
          <w:szCs w:val="22"/>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3A8F502" w14:textId="77777777" w:rsidR="008E4DDF" w:rsidRPr="00CB442D" w:rsidRDefault="008E4DDF" w:rsidP="008E4DDF">
      <w:pPr>
        <w:pStyle w:val="heading2"/>
        <w:numPr>
          <w:ilvl w:val="0"/>
          <w:numId w:val="0"/>
        </w:numPr>
        <w:ind w:left="567" w:hanging="567"/>
        <w:rPr>
          <w:sz w:val="24"/>
          <w:szCs w:val="24"/>
          <w:lang w:val="pl-PL"/>
        </w:rPr>
      </w:pPr>
      <w:r w:rsidRPr="00262F04">
        <w:rPr>
          <w:sz w:val="24"/>
          <w:szCs w:val="24"/>
        </w:rPr>
        <w:t>2.</w:t>
      </w:r>
      <w:r>
        <w:rPr>
          <w:sz w:val="24"/>
          <w:szCs w:val="24"/>
          <w:lang w:val="pl-PL"/>
        </w:rPr>
        <w:t>2</w:t>
      </w:r>
      <w:r w:rsidRPr="00262F04">
        <w:rPr>
          <w:sz w:val="24"/>
          <w:szCs w:val="24"/>
        </w:rPr>
        <w:t xml:space="preserve">. </w:t>
      </w:r>
      <w:r>
        <w:rPr>
          <w:sz w:val="24"/>
          <w:szCs w:val="24"/>
          <w:lang w:val="pl-PL"/>
        </w:rPr>
        <w:t>Units</w:t>
      </w:r>
    </w:p>
    <w:p w14:paraId="73CC1A86" w14:textId="77777777" w:rsidR="008E4DDF" w:rsidRPr="00CB442D" w:rsidRDefault="008E4DDF" w:rsidP="008E4DDF">
      <w:pPr>
        <w:pStyle w:val="Akapitzlist"/>
        <w:numPr>
          <w:ilvl w:val="0"/>
          <w:numId w:val="3"/>
        </w:numPr>
        <w:spacing w:after="240"/>
        <w:ind w:left="584" w:hanging="357"/>
        <w:contextualSpacing w:val="0"/>
        <w:rPr>
          <w:sz w:val="22"/>
          <w:szCs w:val="22"/>
        </w:rPr>
      </w:pPr>
      <w:r w:rsidRPr="00CB442D">
        <w:rPr>
          <w:sz w:val="22"/>
          <w:szCs w:val="22"/>
        </w:rPr>
        <w:t>Use either SI (MKS) or CGS as primary units. (SI units are encouraged.) English units may be used as secondary units (in parentheses). An exception would be the use of English units as identifiers in trade, such as “.5-inch disk drive”.</w:t>
      </w:r>
    </w:p>
    <w:p w14:paraId="78228DD9" w14:textId="77777777" w:rsidR="008E4DDF" w:rsidRPr="00CB442D" w:rsidRDefault="008E4DDF" w:rsidP="008E4DDF">
      <w:pPr>
        <w:pStyle w:val="Akapitzlist"/>
        <w:numPr>
          <w:ilvl w:val="0"/>
          <w:numId w:val="3"/>
        </w:numPr>
        <w:spacing w:after="240"/>
        <w:ind w:left="584" w:hanging="357"/>
        <w:contextualSpacing w:val="0"/>
        <w:rPr>
          <w:sz w:val="22"/>
          <w:szCs w:val="22"/>
        </w:rPr>
      </w:pPr>
      <w:r w:rsidRPr="00CB442D">
        <w:rPr>
          <w:sz w:val="22"/>
          <w:szCs w:val="22"/>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0A8B1BF" w14:textId="77777777" w:rsidR="008E4DDF" w:rsidRPr="00CB442D" w:rsidRDefault="008E4DDF" w:rsidP="008E4DDF">
      <w:pPr>
        <w:pStyle w:val="Akapitzlist"/>
        <w:numPr>
          <w:ilvl w:val="0"/>
          <w:numId w:val="3"/>
        </w:numPr>
        <w:spacing w:after="240"/>
        <w:ind w:left="584" w:hanging="357"/>
        <w:contextualSpacing w:val="0"/>
        <w:rPr>
          <w:sz w:val="22"/>
          <w:szCs w:val="22"/>
        </w:rPr>
      </w:pPr>
      <w:r w:rsidRPr="00CB442D">
        <w:rPr>
          <w:sz w:val="22"/>
          <w:szCs w:val="22"/>
        </w:rPr>
        <w:t>Do not mix complete spellings and abbreviations of units: “Wb</w:t>
      </w:r>
      <w:r w:rsidRPr="00CB442D">
        <w:rPr>
          <w:rFonts w:eastAsia="Calibri"/>
          <w:sz w:val="22"/>
          <w:szCs w:val="22"/>
        </w:rPr>
        <w:t>/</w:t>
      </w:r>
      <w:r w:rsidRPr="00CB442D">
        <w:rPr>
          <w:sz w:val="22"/>
          <w:szCs w:val="22"/>
        </w:rPr>
        <w:t>m</w:t>
      </w:r>
      <w:r w:rsidRPr="00CB442D">
        <w:rPr>
          <w:sz w:val="22"/>
          <w:szCs w:val="22"/>
          <w:vertAlign w:val="superscript"/>
        </w:rPr>
        <w:t>2</w:t>
      </w:r>
      <w:r w:rsidRPr="00CB442D">
        <w:rPr>
          <w:sz w:val="22"/>
          <w:szCs w:val="22"/>
        </w:rPr>
        <w:t>” or “webers per square meter”, not “webers</w:t>
      </w:r>
      <w:r w:rsidRPr="00CB442D">
        <w:rPr>
          <w:rFonts w:eastAsia="Calibri"/>
          <w:sz w:val="22"/>
          <w:szCs w:val="22"/>
        </w:rPr>
        <w:t>/</w:t>
      </w:r>
      <w:r w:rsidRPr="00CB442D">
        <w:rPr>
          <w:sz w:val="22"/>
          <w:szCs w:val="22"/>
        </w:rPr>
        <w:t>m</w:t>
      </w:r>
      <w:r w:rsidRPr="00CB442D">
        <w:rPr>
          <w:sz w:val="22"/>
          <w:szCs w:val="22"/>
          <w:vertAlign w:val="superscript"/>
        </w:rPr>
        <w:t>2</w:t>
      </w:r>
      <w:r w:rsidRPr="00CB442D">
        <w:rPr>
          <w:sz w:val="22"/>
          <w:szCs w:val="22"/>
        </w:rPr>
        <w:t>”. Spell out units when they appear in text: “...a few henries”, not “...a few H”.</w:t>
      </w:r>
    </w:p>
    <w:p w14:paraId="42B7C63A" w14:textId="77777777" w:rsidR="008E4DDF" w:rsidRDefault="008E4DDF" w:rsidP="008E4DDF">
      <w:pPr>
        <w:pStyle w:val="Akapitzlist"/>
        <w:numPr>
          <w:ilvl w:val="0"/>
          <w:numId w:val="3"/>
        </w:numPr>
        <w:spacing w:after="240"/>
        <w:ind w:left="584" w:hanging="357"/>
        <w:contextualSpacing w:val="0"/>
        <w:rPr>
          <w:sz w:val="22"/>
          <w:szCs w:val="22"/>
        </w:rPr>
      </w:pPr>
      <w:r w:rsidRPr="00CB442D">
        <w:rPr>
          <w:sz w:val="22"/>
          <w:szCs w:val="22"/>
        </w:rPr>
        <w:t>Use a zero before decimal points: “0.25”, not “.25”. Use “cm</w:t>
      </w:r>
      <w:r w:rsidRPr="00CB442D">
        <w:rPr>
          <w:sz w:val="22"/>
          <w:szCs w:val="22"/>
          <w:vertAlign w:val="superscript"/>
        </w:rPr>
        <w:t>3</w:t>
      </w:r>
      <w:r w:rsidRPr="00CB442D">
        <w:rPr>
          <w:sz w:val="22"/>
          <w:szCs w:val="22"/>
        </w:rPr>
        <w:t>”, not “cc”.</w:t>
      </w:r>
    </w:p>
    <w:p w14:paraId="1F3C70BF" w14:textId="77777777" w:rsidR="008E4DDF" w:rsidRPr="009958FF" w:rsidRDefault="008E4DDF" w:rsidP="008E4DDF">
      <w:pPr>
        <w:pStyle w:val="heading2"/>
        <w:numPr>
          <w:ilvl w:val="0"/>
          <w:numId w:val="0"/>
        </w:numPr>
        <w:ind w:left="567" w:hanging="567"/>
        <w:rPr>
          <w:sz w:val="24"/>
          <w:szCs w:val="24"/>
        </w:rPr>
      </w:pPr>
      <w:r w:rsidRPr="00262F04">
        <w:rPr>
          <w:sz w:val="24"/>
          <w:szCs w:val="24"/>
        </w:rPr>
        <w:t>2.</w:t>
      </w:r>
      <w:r w:rsidRPr="009958FF">
        <w:rPr>
          <w:sz w:val="24"/>
          <w:szCs w:val="24"/>
        </w:rPr>
        <w:t>3</w:t>
      </w:r>
      <w:r w:rsidRPr="00262F04">
        <w:rPr>
          <w:sz w:val="24"/>
          <w:szCs w:val="24"/>
        </w:rPr>
        <w:t xml:space="preserve">. </w:t>
      </w:r>
      <w:r w:rsidRPr="009958FF">
        <w:rPr>
          <w:sz w:val="24"/>
          <w:szCs w:val="24"/>
        </w:rPr>
        <w:t>Examples</w:t>
      </w:r>
    </w:p>
    <w:p w14:paraId="6CBE0269" w14:textId="77777777" w:rsidR="008E4DDF" w:rsidRPr="009958FF" w:rsidRDefault="008E4DDF" w:rsidP="008E4DDF">
      <w:pPr>
        <w:spacing w:after="389"/>
        <w:ind w:firstLine="222"/>
        <w:rPr>
          <w:sz w:val="22"/>
          <w:szCs w:val="22"/>
        </w:rPr>
      </w:pPr>
      <w:r w:rsidRPr="009958FF">
        <w:rPr>
          <w:sz w:val="22"/>
          <w:szCs w:val="22"/>
        </w:rPr>
        <w:t>A footnote goes here</w:t>
      </w:r>
      <w:r w:rsidRPr="009958FF">
        <w:rPr>
          <w:sz w:val="22"/>
          <w:szCs w:val="22"/>
          <w:vertAlign w:val="superscript"/>
        </w:rPr>
        <w:footnoteReference w:id="1"/>
      </w:r>
      <w:r w:rsidRPr="009958FF">
        <w:rPr>
          <w:sz w:val="22"/>
          <w:szCs w:val="22"/>
        </w:rPr>
        <w:t>. A citation [1]. Example citations [2, 3].</w:t>
      </w:r>
    </w:p>
    <w:p w14:paraId="0C7D10B4" w14:textId="77777777" w:rsidR="008E4DDF" w:rsidRPr="009958FF" w:rsidRDefault="008E4DDF" w:rsidP="008E4DDF">
      <w:pPr>
        <w:pStyle w:val="heading2"/>
        <w:numPr>
          <w:ilvl w:val="0"/>
          <w:numId w:val="0"/>
        </w:numPr>
        <w:ind w:left="567" w:hanging="567"/>
        <w:rPr>
          <w:sz w:val="24"/>
          <w:szCs w:val="24"/>
        </w:rPr>
      </w:pPr>
      <w:r w:rsidRPr="00262F04">
        <w:rPr>
          <w:sz w:val="24"/>
          <w:szCs w:val="24"/>
        </w:rPr>
        <w:t>2.</w:t>
      </w:r>
      <w:r w:rsidRPr="009958FF">
        <w:rPr>
          <w:sz w:val="24"/>
          <w:szCs w:val="24"/>
        </w:rPr>
        <w:t>3</w:t>
      </w:r>
      <w:r w:rsidRPr="00262F04">
        <w:rPr>
          <w:sz w:val="24"/>
          <w:szCs w:val="24"/>
        </w:rPr>
        <w:t>.</w:t>
      </w:r>
      <w:r w:rsidRPr="009958FF">
        <w:rPr>
          <w:sz w:val="24"/>
          <w:szCs w:val="24"/>
        </w:rPr>
        <w:t>1.</w:t>
      </w:r>
      <w:r w:rsidRPr="00262F04">
        <w:rPr>
          <w:sz w:val="24"/>
          <w:szCs w:val="24"/>
        </w:rPr>
        <w:t xml:space="preserve"> </w:t>
      </w:r>
      <w:r w:rsidRPr="009958FF">
        <w:rPr>
          <w:sz w:val="24"/>
          <w:szCs w:val="24"/>
        </w:rPr>
        <w:t>Figure Examples</w:t>
      </w:r>
    </w:p>
    <w:p w14:paraId="34F683E9" w14:textId="77777777" w:rsidR="008E4DDF" w:rsidRPr="009958FF" w:rsidRDefault="008E4DDF" w:rsidP="008E4DDF">
      <w:pPr>
        <w:spacing w:after="362"/>
        <w:ind w:firstLine="222"/>
        <w:rPr>
          <w:sz w:val="22"/>
          <w:szCs w:val="22"/>
        </w:rPr>
      </w:pPr>
      <w:r w:rsidRPr="009958FF">
        <w:rPr>
          <w:sz w:val="22"/>
          <w:szCs w:val="22"/>
        </w:rPr>
        <w:t>PNG format for bitmaps and PDF format for vector images are preferred</w:t>
      </w:r>
      <w:r w:rsidR="000C4980">
        <w:rPr>
          <w:sz w:val="22"/>
          <w:szCs w:val="22"/>
        </w:rPr>
        <w:t>.</w:t>
      </w:r>
    </w:p>
    <w:p w14:paraId="702F5629" w14:textId="77777777" w:rsidR="008E4DDF" w:rsidRPr="009958FF" w:rsidRDefault="008E4DDF" w:rsidP="008E4DDF">
      <w:pPr>
        <w:pStyle w:val="heading2"/>
        <w:numPr>
          <w:ilvl w:val="0"/>
          <w:numId w:val="0"/>
        </w:numPr>
        <w:ind w:left="567" w:hanging="567"/>
        <w:rPr>
          <w:sz w:val="24"/>
          <w:szCs w:val="24"/>
        </w:rPr>
      </w:pPr>
      <w:r w:rsidRPr="00262F04">
        <w:rPr>
          <w:sz w:val="24"/>
          <w:szCs w:val="24"/>
        </w:rPr>
        <w:t>2.</w:t>
      </w:r>
      <w:r w:rsidRPr="009958FF">
        <w:rPr>
          <w:sz w:val="24"/>
          <w:szCs w:val="24"/>
        </w:rPr>
        <w:t>3</w:t>
      </w:r>
      <w:r w:rsidRPr="00262F04">
        <w:rPr>
          <w:sz w:val="24"/>
          <w:szCs w:val="24"/>
        </w:rPr>
        <w:t>.</w:t>
      </w:r>
      <w:r>
        <w:rPr>
          <w:sz w:val="24"/>
          <w:szCs w:val="24"/>
        </w:rPr>
        <w:t>2</w:t>
      </w:r>
      <w:r w:rsidRPr="009958FF">
        <w:rPr>
          <w:sz w:val="24"/>
          <w:szCs w:val="24"/>
        </w:rPr>
        <w:t>.</w:t>
      </w:r>
      <w:r w:rsidRPr="00262F04">
        <w:rPr>
          <w:sz w:val="24"/>
          <w:szCs w:val="24"/>
        </w:rPr>
        <w:t xml:space="preserve"> </w:t>
      </w:r>
      <w:r>
        <w:rPr>
          <w:sz w:val="24"/>
          <w:szCs w:val="24"/>
        </w:rPr>
        <w:t xml:space="preserve">Table </w:t>
      </w:r>
      <w:r w:rsidRPr="009958FF">
        <w:rPr>
          <w:sz w:val="24"/>
          <w:szCs w:val="24"/>
        </w:rPr>
        <w:t>Examples</w:t>
      </w:r>
    </w:p>
    <w:p w14:paraId="63095EE6" w14:textId="77777777" w:rsidR="008E4DDF" w:rsidRPr="009958FF" w:rsidRDefault="008E4DDF" w:rsidP="008E4DDF">
      <w:pPr>
        <w:spacing w:after="362"/>
        <w:ind w:firstLine="222"/>
        <w:rPr>
          <w:sz w:val="22"/>
          <w:szCs w:val="22"/>
        </w:rPr>
      </w:pPr>
      <w:r w:rsidRPr="009958FF">
        <w:rPr>
          <w:sz w:val="22"/>
          <w:szCs w:val="22"/>
        </w:rPr>
        <w:t>Here you can find a table example (Table 1).</w:t>
      </w:r>
    </w:p>
    <w:p w14:paraId="798A8F11" w14:textId="33DF1AC1" w:rsidR="008E4DDF" w:rsidRDefault="008E4DDF" w:rsidP="008E4DDF">
      <w:pPr>
        <w:pStyle w:val="figurecaption"/>
      </w:pPr>
      <w:r w:rsidRPr="009958FF">
        <w:lastRenderedPageBreak/>
        <w:fldChar w:fldCharType="begin"/>
      </w:r>
      <w:r w:rsidR="004925CC">
        <w:instrText xml:space="preserve"> INCLUDEPICTURE "C:\\Users\\mikmal\\Library\\Group Containers\\UBF8T346G9.ms\\WebArchiveCopyPasteTempFiles\\com.microsoft.Word\\page3image26270832" \* MERGEFORMAT </w:instrText>
      </w:r>
      <w:r w:rsidRPr="009958FF">
        <w:fldChar w:fldCharType="separate"/>
      </w:r>
      <w:r w:rsidRPr="009958FF">
        <w:rPr>
          <w:noProof/>
        </w:rPr>
        <w:drawing>
          <wp:inline distT="0" distB="0" distL="0" distR="0" wp14:anchorId="6BBD4A2A" wp14:editId="57D31C56">
            <wp:extent cx="3263463" cy="1123140"/>
            <wp:effectExtent l="0" t="0" r="635" b="0"/>
            <wp:docPr id="964571101" name="Picture 1" descr="page3image2627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26270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9296" cy="1135472"/>
                    </a:xfrm>
                    <a:prstGeom prst="rect">
                      <a:avLst/>
                    </a:prstGeom>
                    <a:noFill/>
                    <a:ln>
                      <a:noFill/>
                    </a:ln>
                  </pic:spPr>
                </pic:pic>
              </a:graphicData>
            </a:graphic>
          </wp:inline>
        </w:drawing>
      </w:r>
      <w:r w:rsidRPr="009958FF">
        <w:fldChar w:fldCharType="end"/>
      </w:r>
    </w:p>
    <w:p w14:paraId="539F867F" w14:textId="77777777" w:rsidR="008E4DDF" w:rsidRPr="009958FF" w:rsidRDefault="008E4DDF" w:rsidP="008E4DDF">
      <w:pPr>
        <w:pStyle w:val="figurecaption"/>
        <w:spacing w:before="0" w:line="360" w:lineRule="auto"/>
        <w:rPr>
          <w:sz w:val="22"/>
          <w:szCs w:val="22"/>
        </w:rPr>
      </w:pPr>
      <w:r w:rsidRPr="009958FF">
        <w:rPr>
          <w:bCs/>
          <w:sz w:val="22"/>
          <w:szCs w:val="22"/>
        </w:rPr>
        <w:t>Figure 1.</w:t>
      </w:r>
      <w:r w:rsidRPr="009958FF">
        <w:rPr>
          <w:sz w:val="22"/>
          <w:szCs w:val="22"/>
        </w:rPr>
        <w:t xml:space="preserve"> Sinusoid in time domain </w:t>
      </w:r>
    </w:p>
    <w:p w14:paraId="29F791C7" w14:textId="77777777" w:rsidR="008E4DDF" w:rsidRDefault="008E4DDF" w:rsidP="008E4DDF">
      <w:pPr>
        <w:spacing w:before="240" w:line="360" w:lineRule="auto"/>
        <w:ind w:firstLine="222"/>
        <w:jc w:val="center"/>
        <w:rPr>
          <w:sz w:val="22"/>
          <w:szCs w:val="22"/>
        </w:rPr>
      </w:pPr>
      <w:r w:rsidRPr="009958FF">
        <w:rPr>
          <w:sz w:val="22"/>
          <w:szCs w:val="22"/>
        </w:rPr>
        <w:t>Table 1. Your table caption</w:t>
      </w:r>
    </w:p>
    <w:tbl>
      <w:tblPr>
        <w:tblStyle w:val="Tabela-Siatka"/>
        <w:tblW w:w="0" w:type="auto"/>
        <w:jc w:val="center"/>
        <w:tblLook w:val="04A0" w:firstRow="1" w:lastRow="0" w:firstColumn="1" w:lastColumn="0" w:noHBand="0" w:noVBand="1"/>
      </w:tblPr>
      <w:tblGrid>
        <w:gridCol w:w="1465"/>
        <w:gridCol w:w="1465"/>
        <w:gridCol w:w="1465"/>
      </w:tblGrid>
      <w:tr w:rsidR="008E4DDF" w14:paraId="09B2A0A9" w14:textId="77777777" w:rsidTr="008B4644">
        <w:trPr>
          <w:trHeight w:val="190"/>
          <w:jc w:val="center"/>
        </w:trPr>
        <w:tc>
          <w:tcPr>
            <w:tcW w:w="1465" w:type="dxa"/>
          </w:tcPr>
          <w:p w14:paraId="19A03864" w14:textId="77777777" w:rsidR="008E4DDF" w:rsidRPr="009958FF" w:rsidRDefault="008E4DDF" w:rsidP="008B4644">
            <w:pPr>
              <w:ind w:firstLine="0"/>
              <w:jc w:val="center"/>
              <w:rPr>
                <w:b/>
                <w:bCs/>
                <w:sz w:val="22"/>
                <w:szCs w:val="22"/>
                <w:lang w:val="pl-PL"/>
              </w:rPr>
            </w:pPr>
            <w:r w:rsidRPr="009958FF">
              <w:rPr>
                <w:b/>
                <w:bCs/>
                <w:sz w:val="22"/>
                <w:szCs w:val="22"/>
                <w:lang w:val="pl-PL"/>
              </w:rPr>
              <w:t>year</w:t>
            </w:r>
          </w:p>
        </w:tc>
        <w:tc>
          <w:tcPr>
            <w:tcW w:w="1465" w:type="dxa"/>
          </w:tcPr>
          <w:p w14:paraId="32A0178A" w14:textId="77777777" w:rsidR="008E4DDF" w:rsidRPr="009958FF" w:rsidRDefault="008E4DDF" w:rsidP="008B4644">
            <w:pPr>
              <w:ind w:firstLine="0"/>
              <w:jc w:val="center"/>
              <w:rPr>
                <w:b/>
                <w:bCs/>
                <w:sz w:val="22"/>
                <w:szCs w:val="22"/>
                <w:lang w:val="pl-PL"/>
              </w:rPr>
            </w:pPr>
            <w:r w:rsidRPr="009958FF">
              <w:rPr>
                <w:b/>
                <w:bCs/>
                <w:sz w:val="22"/>
                <w:szCs w:val="22"/>
                <w:lang w:val="pl-PL"/>
              </w:rPr>
              <w:t>venue</w:t>
            </w:r>
          </w:p>
        </w:tc>
        <w:tc>
          <w:tcPr>
            <w:tcW w:w="1465" w:type="dxa"/>
          </w:tcPr>
          <w:p w14:paraId="42B3E059" w14:textId="77777777" w:rsidR="008E4DDF" w:rsidRPr="009958FF" w:rsidRDefault="008E4DDF" w:rsidP="008B4644">
            <w:pPr>
              <w:ind w:firstLine="0"/>
              <w:jc w:val="center"/>
              <w:rPr>
                <w:b/>
                <w:bCs/>
                <w:sz w:val="22"/>
                <w:szCs w:val="22"/>
                <w:lang w:val="pl-PL"/>
              </w:rPr>
            </w:pPr>
            <w:r w:rsidRPr="009958FF">
              <w:rPr>
                <w:b/>
                <w:bCs/>
                <w:sz w:val="22"/>
                <w:szCs w:val="22"/>
                <w:lang w:val="pl-PL"/>
              </w:rPr>
              <w:t>no. of papers</w:t>
            </w:r>
          </w:p>
        </w:tc>
      </w:tr>
      <w:tr w:rsidR="008E4DDF" w14:paraId="50D6CBCC" w14:textId="77777777" w:rsidTr="008B4644">
        <w:trPr>
          <w:trHeight w:val="186"/>
          <w:jc w:val="center"/>
        </w:trPr>
        <w:tc>
          <w:tcPr>
            <w:tcW w:w="1465" w:type="dxa"/>
          </w:tcPr>
          <w:p w14:paraId="24CA1D35" w14:textId="77777777" w:rsidR="008E4DDF" w:rsidRPr="009958FF" w:rsidRDefault="008E4DDF" w:rsidP="008B4644">
            <w:pPr>
              <w:ind w:firstLine="0"/>
              <w:jc w:val="center"/>
              <w:rPr>
                <w:sz w:val="22"/>
                <w:szCs w:val="22"/>
                <w:lang w:val="pl-PL"/>
              </w:rPr>
            </w:pPr>
            <w:r>
              <w:rPr>
                <w:sz w:val="22"/>
                <w:szCs w:val="22"/>
                <w:lang w:val="pl-PL"/>
              </w:rPr>
              <w:t>2002</w:t>
            </w:r>
          </w:p>
        </w:tc>
        <w:tc>
          <w:tcPr>
            <w:tcW w:w="1465" w:type="dxa"/>
          </w:tcPr>
          <w:p w14:paraId="78CF3B5D" w14:textId="77777777" w:rsidR="008E4DDF" w:rsidRPr="009958FF" w:rsidRDefault="008E4DDF" w:rsidP="008B4644">
            <w:pPr>
              <w:ind w:firstLine="0"/>
              <w:jc w:val="center"/>
              <w:rPr>
                <w:sz w:val="22"/>
                <w:szCs w:val="22"/>
                <w:lang w:val="pl-PL"/>
              </w:rPr>
            </w:pPr>
            <w:r>
              <w:rPr>
                <w:sz w:val="22"/>
                <w:szCs w:val="22"/>
                <w:lang w:val="pl-PL"/>
              </w:rPr>
              <w:t>Wrocław</w:t>
            </w:r>
          </w:p>
        </w:tc>
        <w:tc>
          <w:tcPr>
            <w:tcW w:w="1465" w:type="dxa"/>
          </w:tcPr>
          <w:p w14:paraId="41255912" w14:textId="77777777" w:rsidR="008E4DDF" w:rsidRPr="009958FF" w:rsidRDefault="008E4DDF" w:rsidP="008B4644">
            <w:pPr>
              <w:ind w:firstLine="0"/>
              <w:jc w:val="center"/>
              <w:rPr>
                <w:sz w:val="22"/>
                <w:szCs w:val="22"/>
                <w:lang w:val="pl-PL"/>
              </w:rPr>
            </w:pPr>
            <w:r>
              <w:rPr>
                <w:sz w:val="22"/>
                <w:szCs w:val="22"/>
                <w:lang w:val="pl-PL"/>
              </w:rPr>
              <w:t>119</w:t>
            </w:r>
          </w:p>
        </w:tc>
      </w:tr>
      <w:tr w:rsidR="008E4DDF" w14:paraId="141E0B9F" w14:textId="77777777" w:rsidTr="008B4644">
        <w:trPr>
          <w:trHeight w:val="186"/>
          <w:jc w:val="center"/>
        </w:trPr>
        <w:tc>
          <w:tcPr>
            <w:tcW w:w="1465" w:type="dxa"/>
          </w:tcPr>
          <w:p w14:paraId="5B553D28" w14:textId="77777777" w:rsidR="008E4DDF" w:rsidRPr="009958FF" w:rsidRDefault="008E4DDF" w:rsidP="008B4644">
            <w:pPr>
              <w:ind w:firstLine="0"/>
              <w:jc w:val="center"/>
              <w:rPr>
                <w:sz w:val="22"/>
                <w:szCs w:val="22"/>
                <w:lang w:val="pl-PL"/>
              </w:rPr>
            </w:pPr>
            <w:r>
              <w:rPr>
                <w:sz w:val="22"/>
                <w:szCs w:val="22"/>
                <w:lang w:val="pl-PL"/>
              </w:rPr>
              <w:t>2003</w:t>
            </w:r>
          </w:p>
        </w:tc>
        <w:tc>
          <w:tcPr>
            <w:tcW w:w="1465" w:type="dxa"/>
          </w:tcPr>
          <w:p w14:paraId="7017FE85" w14:textId="77777777" w:rsidR="008E4DDF" w:rsidRPr="009958FF" w:rsidRDefault="008E4DDF" w:rsidP="008B4644">
            <w:pPr>
              <w:ind w:firstLine="0"/>
              <w:jc w:val="center"/>
              <w:rPr>
                <w:sz w:val="22"/>
                <w:szCs w:val="22"/>
                <w:lang w:val="pl-PL"/>
              </w:rPr>
            </w:pPr>
            <w:r>
              <w:rPr>
                <w:sz w:val="22"/>
                <w:szCs w:val="22"/>
                <w:lang w:val="pl-PL"/>
              </w:rPr>
              <w:t>Łódź</w:t>
            </w:r>
          </w:p>
        </w:tc>
        <w:tc>
          <w:tcPr>
            <w:tcW w:w="1465" w:type="dxa"/>
          </w:tcPr>
          <w:p w14:paraId="638C3019" w14:textId="77777777" w:rsidR="008E4DDF" w:rsidRPr="009958FF" w:rsidRDefault="008E4DDF" w:rsidP="008B4644">
            <w:pPr>
              <w:ind w:firstLine="0"/>
              <w:jc w:val="center"/>
              <w:rPr>
                <w:sz w:val="22"/>
                <w:szCs w:val="22"/>
                <w:lang w:val="pl-PL"/>
              </w:rPr>
            </w:pPr>
            <w:r>
              <w:rPr>
                <w:sz w:val="22"/>
                <w:szCs w:val="22"/>
                <w:lang w:val="pl-PL"/>
              </w:rPr>
              <w:t>121</w:t>
            </w:r>
          </w:p>
        </w:tc>
      </w:tr>
    </w:tbl>
    <w:p w14:paraId="5FB092C0" w14:textId="77777777" w:rsidR="008E4DDF" w:rsidRPr="009958FF" w:rsidRDefault="008E4DDF" w:rsidP="008E4DDF">
      <w:pPr>
        <w:pStyle w:val="heading2"/>
        <w:numPr>
          <w:ilvl w:val="0"/>
          <w:numId w:val="0"/>
        </w:numPr>
        <w:rPr>
          <w:sz w:val="24"/>
          <w:szCs w:val="24"/>
        </w:rPr>
      </w:pPr>
      <w:r w:rsidRPr="00262F04">
        <w:rPr>
          <w:sz w:val="24"/>
          <w:szCs w:val="24"/>
        </w:rPr>
        <w:t>2.</w:t>
      </w:r>
      <w:r w:rsidRPr="009958FF">
        <w:rPr>
          <w:sz w:val="24"/>
          <w:szCs w:val="24"/>
        </w:rPr>
        <w:t>3</w:t>
      </w:r>
      <w:r w:rsidRPr="00262F04">
        <w:rPr>
          <w:sz w:val="24"/>
          <w:szCs w:val="24"/>
        </w:rPr>
        <w:t>.</w:t>
      </w:r>
      <w:r>
        <w:rPr>
          <w:sz w:val="24"/>
          <w:szCs w:val="24"/>
        </w:rPr>
        <w:t>3</w:t>
      </w:r>
      <w:r w:rsidRPr="009958FF">
        <w:rPr>
          <w:sz w:val="24"/>
          <w:szCs w:val="24"/>
        </w:rPr>
        <w:t>.</w:t>
      </w:r>
      <w:r w:rsidRPr="00262F04">
        <w:rPr>
          <w:sz w:val="24"/>
          <w:szCs w:val="24"/>
        </w:rPr>
        <w:t xml:space="preserve"> </w:t>
      </w:r>
      <w:r>
        <w:rPr>
          <w:sz w:val="24"/>
          <w:szCs w:val="24"/>
        </w:rPr>
        <w:t xml:space="preserve">Equation </w:t>
      </w:r>
      <w:r w:rsidRPr="009958FF">
        <w:rPr>
          <w:sz w:val="24"/>
          <w:szCs w:val="24"/>
        </w:rPr>
        <w:t>Example</w:t>
      </w:r>
    </w:p>
    <w:p w14:paraId="13FAAE3D" w14:textId="77777777" w:rsidR="008E4DDF" w:rsidRDefault="008E4DDF" w:rsidP="008E4DDF">
      <w:pPr>
        <w:spacing w:after="362"/>
        <w:ind w:firstLine="222"/>
        <w:rPr>
          <w:sz w:val="22"/>
          <w:szCs w:val="22"/>
        </w:rPr>
      </w:pPr>
      <w:r w:rsidRPr="009958FF">
        <w:rPr>
          <w:sz w:val="22"/>
          <w:szCs w:val="22"/>
        </w:rPr>
        <w:t>Here you can find an equation example. The equation 1 shows the sum.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467"/>
        <w:gridCol w:w="1785"/>
      </w:tblGrid>
      <w:tr w:rsidR="000C4980" w14:paraId="6E35AAE1" w14:textId="77777777" w:rsidTr="000C4980">
        <w:tc>
          <w:tcPr>
            <w:tcW w:w="1951" w:type="dxa"/>
          </w:tcPr>
          <w:p w14:paraId="12FB0F83" w14:textId="77777777" w:rsidR="008E4DDF" w:rsidRDefault="008E4DDF" w:rsidP="008B4644">
            <w:pPr>
              <w:spacing w:after="362"/>
              <w:ind w:firstLine="0"/>
              <w:rPr>
                <w:sz w:val="22"/>
                <w:szCs w:val="22"/>
              </w:rPr>
            </w:pPr>
          </w:p>
        </w:tc>
        <w:tc>
          <w:tcPr>
            <w:tcW w:w="3544" w:type="dxa"/>
          </w:tcPr>
          <w:p w14:paraId="448ED4A7" w14:textId="77777777" w:rsidR="008E4DDF" w:rsidRPr="000C4980" w:rsidRDefault="008E4DDF" w:rsidP="008B4644">
            <w:pPr>
              <w:pStyle w:val="Tekstpodstawowy"/>
              <w:rPr>
                <w:sz w:val="22"/>
                <w:szCs w:val="22"/>
              </w:rPr>
            </w:pPr>
            <m:oMathPara>
              <m:oMath>
                <m:r>
                  <w:rPr>
                    <w:rFonts w:ascii="Cambria Math" w:hAnsi="Cambria Math"/>
                    <w:sz w:val="22"/>
                    <w:szCs w:val="22"/>
                  </w:rPr>
                  <m:t>X</m:t>
                </m:r>
                <m:d>
                  <m:dPr>
                    <m:ctrlPr>
                      <w:rPr>
                        <w:rFonts w:ascii="Cambria Math" w:hAnsi="Cambria Math"/>
                        <w:sz w:val="22"/>
                        <w:szCs w:val="22"/>
                      </w:rPr>
                    </m:ctrlPr>
                  </m:dPr>
                  <m:e>
                    <m:sSup>
                      <m:sSupPr>
                        <m:ctrlPr>
                          <w:rPr>
                            <w:rFonts w:ascii="Cambria Math" w:hAnsi="Cambria Math"/>
                            <w:sz w:val="22"/>
                            <w:szCs w:val="22"/>
                          </w:rPr>
                        </m:ctrlPr>
                      </m:sSupPr>
                      <m:e>
                        <m:r>
                          <w:rPr>
                            <w:rFonts w:ascii="Cambria Math" w:hAnsi="Cambria Math"/>
                            <w:sz w:val="22"/>
                            <w:szCs w:val="22"/>
                          </w:rPr>
                          <m:t>e</m:t>
                        </m:r>
                      </m:e>
                      <m:sup>
                        <m:r>
                          <w:rPr>
                            <w:rFonts w:ascii="Cambria Math" w:hAnsi="Cambria Math"/>
                            <w:sz w:val="22"/>
                            <w:szCs w:val="22"/>
                          </w:rPr>
                          <m:t>jΩ</m:t>
                        </m:r>
                      </m:sup>
                    </m:sSup>
                  </m:e>
                </m:d>
                <m:r>
                  <m:rPr>
                    <m:sty m:val="p"/>
                  </m:rPr>
                  <w:rPr>
                    <w:rFonts w:ascii="Cambria Math" w:hAnsi="Cambria Math"/>
                    <w:sz w:val="22"/>
                    <w:szCs w:val="22"/>
                  </w:rPr>
                  <m:t>=</m:t>
                </m:r>
                <m:nary>
                  <m:naryPr>
                    <m:chr m:val="∑"/>
                    <m:limLoc m:val="undOvr"/>
                    <m:ctrlPr>
                      <w:rPr>
                        <w:rFonts w:ascii="Cambria Math" w:hAnsi="Cambria Math"/>
                        <w:sz w:val="22"/>
                        <w:szCs w:val="22"/>
                      </w:rPr>
                    </m:ctrlPr>
                  </m:naryPr>
                  <m:sub>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0</m:t>
                    </m:r>
                  </m:sub>
                  <m:sup>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1</m:t>
                    </m:r>
                  </m:sup>
                  <m:e>
                    <m:r>
                      <w:rPr>
                        <w:rFonts w:ascii="Cambria Math" w:hAnsi="Cambria Math"/>
                        <w:sz w:val="22"/>
                        <w:szCs w:val="22"/>
                      </w:rPr>
                      <m:t>x</m:t>
                    </m:r>
                  </m:e>
                </m:nary>
                <m:d>
                  <m:dPr>
                    <m:ctrlPr>
                      <w:rPr>
                        <w:rFonts w:ascii="Cambria Math" w:hAnsi="Cambria Math"/>
                        <w:sz w:val="22"/>
                        <w:szCs w:val="22"/>
                      </w:rPr>
                    </m:ctrlPr>
                  </m:dPr>
                  <m:e>
                    <m:r>
                      <w:rPr>
                        <w:rFonts w:ascii="Cambria Math" w:hAnsi="Cambria Math"/>
                        <w:sz w:val="22"/>
                        <w:szCs w:val="22"/>
                      </w:rPr>
                      <m:t>n</m:t>
                    </m:r>
                  </m:e>
                </m:d>
                <m:sSup>
                  <m:sSupPr>
                    <m:ctrlPr>
                      <w:rPr>
                        <w:rFonts w:ascii="Cambria Math" w:hAnsi="Cambria Math"/>
                        <w:sz w:val="22"/>
                        <w:szCs w:val="22"/>
                      </w:rPr>
                    </m:ctrlPr>
                  </m:sSupPr>
                  <m:e>
                    <m:r>
                      <w:rPr>
                        <w:rFonts w:ascii="Cambria Math" w:hAnsi="Cambria Math"/>
                        <w:sz w:val="22"/>
                        <w:szCs w:val="22"/>
                      </w:rPr>
                      <m:t>e</m:t>
                    </m:r>
                  </m:e>
                  <m:sup>
                    <m:r>
                      <m:rPr>
                        <m:sty m:val="p"/>
                      </m:rPr>
                      <w:rPr>
                        <w:rFonts w:ascii="Cambria Math" w:hAnsi="Cambria Math"/>
                        <w:sz w:val="22"/>
                        <w:szCs w:val="22"/>
                      </w:rPr>
                      <m:t>-</m:t>
                    </m:r>
                    <m:r>
                      <w:rPr>
                        <w:rFonts w:ascii="Cambria Math" w:hAnsi="Cambria Math"/>
                        <w:sz w:val="22"/>
                        <w:szCs w:val="22"/>
                      </w:rPr>
                      <m:t>jΩn</m:t>
                    </m:r>
                  </m:sup>
                </m:sSup>
              </m:oMath>
            </m:oMathPara>
          </w:p>
        </w:tc>
        <w:tc>
          <w:tcPr>
            <w:tcW w:w="1847" w:type="dxa"/>
            <w:vAlign w:val="center"/>
          </w:tcPr>
          <w:p w14:paraId="2995ADB4" w14:textId="77777777" w:rsidR="008E4DDF" w:rsidRDefault="008E4DDF" w:rsidP="008B4644">
            <w:pPr>
              <w:ind w:firstLine="0"/>
              <w:jc w:val="center"/>
              <w:rPr>
                <w:sz w:val="22"/>
                <w:szCs w:val="22"/>
              </w:rPr>
            </w:pPr>
            <w:r>
              <w:rPr>
                <w:sz w:val="22"/>
                <w:szCs w:val="22"/>
              </w:rPr>
              <w:t>(1)</w:t>
            </w:r>
          </w:p>
        </w:tc>
      </w:tr>
    </w:tbl>
    <w:p w14:paraId="1BE96770" w14:textId="77777777" w:rsidR="008E4DDF" w:rsidRPr="009958FF" w:rsidRDefault="008E4DDF" w:rsidP="008E4DDF">
      <w:pPr>
        <w:pStyle w:val="heading2"/>
        <w:numPr>
          <w:ilvl w:val="0"/>
          <w:numId w:val="0"/>
        </w:numPr>
        <w:rPr>
          <w:sz w:val="24"/>
          <w:szCs w:val="24"/>
        </w:rPr>
      </w:pPr>
      <w:r w:rsidRPr="00262F04">
        <w:rPr>
          <w:sz w:val="24"/>
          <w:szCs w:val="24"/>
        </w:rPr>
        <w:t>2.</w:t>
      </w:r>
      <w:r w:rsidRPr="009958FF">
        <w:rPr>
          <w:sz w:val="24"/>
          <w:szCs w:val="24"/>
        </w:rPr>
        <w:t>3</w:t>
      </w:r>
      <w:r w:rsidRPr="00262F04">
        <w:rPr>
          <w:sz w:val="24"/>
          <w:szCs w:val="24"/>
        </w:rPr>
        <w:t>.</w:t>
      </w:r>
      <w:r>
        <w:rPr>
          <w:sz w:val="24"/>
          <w:szCs w:val="24"/>
        </w:rPr>
        <w:t>4</w:t>
      </w:r>
      <w:r w:rsidRPr="009958FF">
        <w:rPr>
          <w:sz w:val="24"/>
          <w:szCs w:val="24"/>
        </w:rPr>
        <w:t>.</w:t>
      </w:r>
      <w:r w:rsidRPr="00262F04">
        <w:rPr>
          <w:sz w:val="24"/>
          <w:szCs w:val="24"/>
        </w:rPr>
        <w:t xml:space="preserve"> </w:t>
      </w:r>
      <w:r>
        <w:rPr>
          <w:sz w:val="24"/>
          <w:szCs w:val="24"/>
        </w:rPr>
        <w:t xml:space="preserve">Algorithm </w:t>
      </w:r>
      <w:r w:rsidRPr="009958FF">
        <w:rPr>
          <w:sz w:val="24"/>
          <w:szCs w:val="24"/>
        </w:rPr>
        <w:t>Example</w:t>
      </w:r>
    </w:p>
    <w:p w14:paraId="6431E42A" w14:textId="77777777" w:rsidR="008E4DDF" w:rsidRPr="009958FF" w:rsidRDefault="008E4DDF" w:rsidP="008E4DDF">
      <w:pPr>
        <w:spacing w:after="30"/>
      </w:pPr>
      <w:r w:rsidRPr="009958FF">
        <w:rPr>
          <w:rFonts w:eastAsia="Calibri"/>
          <w:i/>
        </w:rPr>
        <w:t xml:space="preserve">i </w:t>
      </w:r>
      <w:r w:rsidRPr="009958FF">
        <w:rPr>
          <w:rFonts w:eastAsia="Calibri"/>
        </w:rPr>
        <w:t xml:space="preserve">← </w:t>
      </w:r>
      <w:r w:rsidRPr="009958FF">
        <w:t>10</w:t>
      </w:r>
    </w:p>
    <w:p w14:paraId="690B0D1A" w14:textId="77777777" w:rsidR="008E4DDF" w:rsidRDefault="008E4DDF" w:rsidP="008E4DDF">
      <w:pPr>
        <w:spacing w:after="5" w:line="270" w:lineRule="auto"/>
        <w:ind w:left="545" w:right="5767" w:hanging="327"/>
        <w:jc w:val="left"/>
        <w:rPr>
          <w:rFonts w:eastAsia="Calibri"/>
        </w:rPr>
      </w:pPr>
      <w:r w:rsidRPr="009958FF">
        <w:rPr>
          <w:rFonts w:eastAsia="Calibri"/>
          <w:b/>
          <w:bCs/>
        </w:rPr>
        <w:t>if</w:t>
      </w:r>
      <w:r w:rsidRPr="009958FF">
        <w:rPr>
          <w:rFonts w:eastAsia="Calibri"/>
        </w:rPr>
        <w:t xml:space="preserve"> </w:t>
      </w:r>
      <w:r w:rsidRPr="009958FF">
        <w:rPr>
          <w:rFonts w:eastAsia="Calibri"/>
          <w:i/>
        </w:rPr>
        <w:t xml:space="preserve">i </w:t>
      </w:r>
      <w:r w:rsidRPr="009958FF">
        <w:rPr>
          <w:rFonts w:eastAsia="Calibri"/>
        </w:rPr>
        <w:t xml:space="preserve">≥ </w:t>
      </w:r>
      <w:r w:rsidRPr="009958FF">
        <w:t xml:space="preserve">5 </w:t>
      </w:r>
      <w:r w:rsidRPr="009958FF">
        <w:rPr>
          <w:rFonts w:eastAsia="Calibri"/>
          <w:b/>
          <w:bCs/>
        </w:rPr>
        <w:t>then</w:t>
      </w:r>
    </w:p>
    <w:p w14:paraId="68028339" w14:textId="77777777" w:rsidR="008E4DDF" w:rsidRPr="009958FF" w:rsidRDefault="008E4DDF" w:rsidP="008E4DDF">
      <w:pPr>
        <w:spacing w:after="5" w:line="270" w:lineRule="auto"/>
        <w:ind w:left="227" w:right="5767"/>
        <w:jc w:val="left"/>
      </w:pPr>
      <w:r w:rsidRPr="009958FF">
        <w:rPr>
          <w:rFonts w:eastAsia="Calibri"/>
          <w:i/>
        </w:rPr>
        <w:t xml:space="preserve">i </w:t>
      </w:r>
      <w:r>
        <w:rPr>
          <w:rFonts w:eastAsia="Calibri"/>
          <w:i/>
        </w:rPr>
        <w:t xml:space="preserve"> </w:t>
      </w:r>
      <w:r w:rsidRPr="009958FF">
        <w:rPr>
          <w:rFonts w:eastAsia="Calibri"/>
        </w:rPr>
        <w:t xml:space="preserve">← </w:t>
      </w:r>
      <w:r w:rsidRPr="009958FF">
        <w:rPr>
          <w:rFonts w:eastAsia="Calibri"/>
          <w:i/>
        </w:rPr>
        <w:t xml:space="preserve">i </w:t>
      </w:r>
      <w:r w:rsidRPr="009958FF">
        <w:rPr>
          <w:rFonts w:eastAsia="Calibri"/>
        </w:rPr>
        <w:t xml:space="preserve">− </w:t>
      </w:r>
      <w:r w:rsidRPr="009958FF">
        <w:t>1</w:t>
      </w:r>
    </w:p>
    <w:p w14:paraId="4371074F" w14:textId="77777777" w:rsidR="008E4DDF" w:rsidRPr="009958FF" w:rsidRDefault="008E4DDF" w:rsidP="008E4DDF">
      <w:pPr>
        <w:spacing w:after="5" w:line="270" w:lineRule="auto"/>
        <w:jc w:val="left"/>
        <w:rPr>
          <w:b/>
          <w:bCs/>
        </w:rPr>
      </w:pPr>
      <w:r w:rsidRPr="009958FF">
        <w:rPr>
          <w:rFonts w:eastAsia="Calibri"/>
          <w:b/>
          <w:bCs/>
        </w:rPr>
        <w:t>else</w:t>
      </w:r>
    </w:p>
    <w:p w14:paraId="6232473A" w14:textId="77777777" w:rsidR="008E4DDF" w:rsidRDefault="008E4DDF" w:rsidP="008E4DDF">
      <w:pPr>
        <w:spacing w:after="5" w:line="270" w:lineRule="auto"/>
        <w:ind w:left="227" w:right="5440"/>
        <w:jc w:val="left"/>
        <w:rPr>
          <w:rFonts w:eastAsia="Calibri"/>
        </w:rPr>
      </w:pPr>
      <w:r w:rsidRPr="009958FF">
        <w:rPr>
          <w:rFonts w:eastAsia="Calibri"/>
          <w:b/>
          <w:bCs/>
        </w:rPr>
        <w:t>if</w:t>
      </w:r>
      <w:r w:rsidRPr="009958FF">
        <w:rPr>
          <w:rFonts w:eastAsia="Calibri"/>
        </w:rPr>
        <w:t xml:space="preserve"> </w:t>
      </w:r>
      <w:r w:rsidRPr="009958FF">
        <w:rPr>
          <w:rFonts w:eastAsia="Calibri"/>
          <w:i/>
        </w:rPr>
        <w:t xml:space="preserve">i </w:t>
      </w:r>
      <w:r w:rsidRPr="009958FF">
        <w:rPr>
          <w:rFonts w:eastAsia="Calibri"/>
        </w:rPr>
        <w:t xml:space="preserve">≤ </w:t>
      </w:r>
      <w:r w:rsidRPr="009958FF">
        <w:t xml:space="preserve">3 </w:t>
      </w:r>
      <w:r w:rsidRPr="009958FF">
        <w:rPr>
          <w:rFonts w:eastAsia="Calibri"/>
          <w:b/>
          <w:bCs/>
        </w:rPr>
        <w:t>then</w:t>
      </w:r>
    </w:p>
    <w:p w14:paraId="3DE35AA1" w14:textId="77777777" w:rsidR="008E4DDF" w:rsidRPr="009958FF" w:rsidRDefault="008E4DDF" w:rsidP="008E4DDF">
      <w:pPr>
        <w:spacing w:after="5" w:line="270" w:lineRule="auto"/>
        <w:ind w:left="454" w:right="5440"/>
        <w:jc w:val="left"/>
      </w:pPr>
      <w:r w:rsidRPr="009958FF">
        <w:rPr>
          <w:rFonts w:eastAsia="Calibri"/>
          <w:i/>
        </w:rPr>
        <w:t xml:space="preserve">i </w:t>
      </w:r>
      <w:r w:rsidRPr="009958FF">
        <w:rPr>
          <w:rFonts w:eastAsia="Calibri"/>
        </w:rPr>
        <w:t xml:space="preserve">← </w:t>
      </w:r>
      <w:r w:rsidRPr="009958FF">
        <w:rPr>
          <w:rFonts w:eastAsia="Calibri"/>
          <w:i/>
        </w:rPr>
        <w:t xml:space="preserve">i </w:t>
      </w:r>
      <w:r w:rsidRPr="009958FF">
        <w:rPr>
          <w:rFonts w:eastAsia="Calibri"/>
        </w:rPr>
        <w:t xml:space="preserve">+ </w:t>
      </w:r>
      <w:r w:rsidRPr="009958FF">
        <w:t>2</w:t>
      </w:r>
    </w:p>
    <w:p w14:paraId="5618B52B" w14:textId="77777777" w:rsidR="008E4DDF" w:rsidRPr="009958FF" w:rsidRDefault="008E4DDF" w:rsidP="008E4DDF">
      <w:pPr>
        <w:spacing w:after="5" w:line="270" w:lineRule="auto"/>
        <w:ind w:left="227"/>
        <w:jc w:val="left"/>
        <w:rPr>
          <w:b/>
          <w:bCs/>
        </w:rPr>
      </w:pPr>
      <w:r w:rsidRPr="009958FF">
        <w:rPr>
          <w:rFonts w:eastAsia="Calibri"/>
          <w:b/>
          <w:bCs/>
        </w:rPr>
        <w:t>end if</w:t>
      </w:r>
    </w:p>
    <w:p w14:paraId="0CEB14EE" w14:textId="77777777" w:rsidR="008E4DDF" w:rsidRPr="009958FF" w:rsidRDefault="008E4DDF" w:rsidP="008E4DDF">
      <w:pPr>
        <w:spacing w:after="301" w:line="270" w:lineRule="auto"/>
        <w:jc w:val="left"/>
        <w:rPr>
          <w:b/>
          <w:bCs/>
        </w:rPr>
      </w:pPr>
      <w:r w:rsidRPr="009958FF">
        <w:rPr>
          <w:rFonts w:eastAsia="Calibri"/>
          <w:b/>
          <w:bCs/>
        </w:rPr>
        <w:t>end if</w:t>
      </w:r>
    </w:p>
    <w:p w14:paraId="318EADED" w14:textId="77777777" w:rsidR="008E4DDF" w:rsidRPr="009958FF" w:rsidRDefault="008E4DDF" w:rsidP="008E4DDF">
      <w:pPr>
        <w:pStyle w:val="heading2"/>
        <w:numPr>
          <w:ilvl w:val="0"/>
          <w:numId w:val="0"/>
        </w:numPr>
        <w:ind w:left="567" w:hanging="567"/>
        <w:rPr>
          <w:sz w:val="24"/>
          <w:szCs w:val="24"/>
        </w:rPr>
      </w:pPr>
      <w:r w:rsidRPr="00262F04">
        <w:rPr>
          <w:sz w:val="24"/>
          <w:szCs w:val="24"/>
        </w:rPr>
        <w:t>2.</w:t>
      </w:r>
      <w:r>
        <w:rPr>
          <w:sz w:val="24"/>
          <w:szCs w:val="24"/>
        </w:rPr>
        <w:t>4</w:t>
      </w:r>
      <w:r w:rsidRPr="009958FF">
        <w:rPr>
          <w:sz w:val="24"/>
          <w:szCs w:val="24"/>
        </w:rPr>
        <w:t>.</w:t>
      </w:r>
      <w:r w:rsidRPr="00262F04">
        <w:rPr>
          <w:sz w:val="24"/>
          <w:szCs w:val="24"/>
        </w:rPr>
        <w:t xml:space="preserve"> </w:t>
      </w:r>
      <w:r>
        <w:rPr>
          <w:sz w:val="24"/>
          <w:szCs w:val="24"/>
        </w:rPr>
        <w:t>Some Common Mistakes</w:t>
      </w:r>
    </w:p>
    <w:p w14:paraId="49B3312B" w14:textId="77777777" w:rsidR="008E4DDF" w:rsidRPr="006F4AA9" w:rsidRDefault="008E4DDF" w:rsidP="008E4DDF">
      <w:pPr>
        <w:pStyle w:val="Akapitzlist"/>
        <w:numPr>
          <w:ilvl w:val="0"/>
          <w:numId w:val="4"/>
        </w:numPr>
        <w:spacing w:after="240" w:line="240" w:lineRule="auto"/>
        <w:ind w:left="499" w:hanging="357"/>
        <w:contextualSpacing w:val="0"/>
        <w:rPr>
          <w:sz w:val="22"/>
          <w:szCs w:val="22"/>
        </w:rPr>
      </w:pPr>
      <w:r w:rsidRPr="006F4AA9">
        <w:rPr>
          <w:sz w:val="22"/>
          <w:szCs w:val="22"/>
        </w:rPr>
        <w:t>The word “data” is plural, not singular.</w:t>
      </w:r>
    </w:p>
    <w:p w14:paraId="7A7210D0" w14:textId="77777777" w:rsidR="008E4DDF" w:rsidRPr="006F4AA9" w:rsidRDefault="008E4DDF" w:rsidP="008E4DDF">
      <w:pPr>
        <w:numPr>
          <w:ilvl w:val="0"/>
          <w:numId w:val="4"/>
        </w:numPr>
        <w:overflowPunct/>
        <w:autoSpaceDE/>
        <w:autoSpaceDN/>
        <w:adjustRightInd/>
        <w:spacing w:after="240" w:line="240" w:lineRule="auto"/>
        <w:ind w:left="499" w:hanging="357"/>
        <w:textAlignment w:val="auto"/>
        <w:rPr>
          <w:sz w:val="22"/>
          <w:szCs w:val="22"/>
        </w:rPr>
      </w:pPr>
      <w:r w:rsidRPr="006F4AA9">
        <w:rPr>
          <w:sz w:val="22"/>
          <w:szCs w:val="22"/>
        </w:rPr>
        <w:lastRenderedPageBreak/>
        <w:t xml:space="preserve">The subscript for the permeability of vacuum </w:t>
      </w:r>
      <w:r w:rsidRPr="006F4AA9">
        <w:rPr>
          <w:rFonts w:eastAsia="Calibri"/>
          <w:sz w:val="22"/>
          <w:szCs w:val="22"/>
        </w:rPr>
        <w:t>µ</w:t>
      </w:r>
      <w:r w:rsidRPr="006F4AA9">
        <w:rPr>
          <w:sz w:val="22"/>
          <w:szCs w:val="22"/>
          <w:vertAlign w:val="subscript"/>
        </w:rPr>
        <w:t>0</w:t>
      </w:r>
      <w:r w:rsidRPr="006F4AA9">
        <w:rPr>
          <w:sz w:val="22"/>
          <w:szCs w:val="22"/>
        </w:rPr>
        <w:t>, and other common scientific constants, is zero with subscript formatting, not a lowercase letter “o”.</w:t>
      </w:r>
    </w:p>
    <w:p w14:paraId="04FC05BC" w14:textId="77777777" w:rsidR="008E4DDF" w:rsidRPr="006F4AA9" w:rsidRDefault="008E4DDF" w:rsidP="008E4DDF">
      <w:pPr>
        <w:numPr>
          <w:ilvl w:val="0"/>
          <w:numId w:val="4"/>
        </w:numPr>
        <w:overflowPunct/>
        <w:autoSpaceDE/>
        <w:autoSpaceDN/>
        <w:adjustRightInd/>
        <w:spacing w:after="240" w:line="240" w:lineRule="auto"/>
        <w:ind w:left="499" w:hanging="357"/>
        <w:textAlignment w:val="auto"/>
        <w:rPr>
          <w:sz w:val="22"/>
          <w:szCs w:val="22"/>
        </w:rPr>
      </w:pPr>
      <w:r w:rsidRPr="006F4AA9">
        <w:rPr>
          <w:sz w:val="22"/>
          <w:szCs w:val="22"/>
        </w:rPr>
        <w:t>In American English, commas, semi-</w:t>
      </w:r>
      <w:r w:rsidRPr="006F4AA9">
        <w:rPr>
          <w:rFonts w:eastAsia="Calibri"/>
          <w:sz w:val="22"/>
          <w:szCs w:val="22"/>
        </w:rPr>
        <w:t>/</w:t>
      </w:r>
      <w:r w:rsidRPr="006F4AA9">
        <w:rPr>
          <w:sz w:val="22"/>
          <w:szCs w:val="22"/>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374AEAC" w14:textId="77777777" w:rsidR="008E4DDF" w:rsidRPr="006F4AA9" w:rsidRDefault="008E4DDF" w:rsidP="008E4DDF">
      <w:pPr>
        <w:numPr>
          <w:ilvl w:val="0"/>
          <w:numId w:val="4"/>
        </w:numPr>
        <w:overflowPunct/>
        <w:autoSpaceDE/>
        <w:autoSpaceDN/>
        <w:adjustRightInd/>
        <w:spacing w:after="240" w:line="240" w:lineRule="auto"/>
        <w:ind w:left="499" w:hanging="357"/>
        <w:textAlignment w:val="auto"/>
        <w:rPr>
          <w:sz w:val="22"/>
          <w:szCs w:val="22"/>
        </w:rPr>
      </w:pPr>
      <w:r w:rsidRPr="006F4AA9">
        <w:rPr>
          <w:sz w:val="22"/>
          <w:szCs w:val="22"/>
        </w:rPr>
        <w:t>A graph within a graph is an “inset”, not an “insert”. The word “alternatively” is preferred to the word “alternately” (unless you really mean something that alternates).</w:t>
      </w:r>
    </w:p>
    <w:p w14:paraId="436DFB0B" w14:textId="77777777" w:rsidR="00B516EE" w:rsidRDefault="008E4DDF" w:rsidP="008E4DDF">
      <w:pPr>
        <w:numPr>
          <w:ilvl w:val="0"/>
          <w:numId w:val="4"/>
        </w:numPr>
        <w:overflowPunct/>
        <w:autoSpaceDE/>
        <w:autoSpaceDN/>
        <w:adjustRightInd/>
        <w:spacing w:after="240" w:line="240" w:lineRule="auto"/>
        <w:ind w:left="499" w:hanging="357"/>
        <w:textAlignment w:val="auto"/>
        <w:rPr>
          <w:sz w:val="22"/>
          <w:szCs w:val="22"/>
        </w:rPr>
      </w:pPr>
      <w:r w:rsidRPr="006F4AA9">
        <w:rPr>
          <w:sz w:val="22"/>
          <w:szCs w:val="22"/>
        </w:rPr>
        <w:t>Do not use the word “essentially” to mean “approximately” or “e</w:t>
      </w:r>
      <w:r w:rsidRPr="006F4AA9">
        <w:rPr>
          <w:rFonts w:eastAsia="Calibri"/>
          <w:sz w:val="22"/>
          <w:szCs w:val="22"/>
        </w:rPr>
        <w:t>ff</w:t>
      </w:r>
      <w:r w:rsidRPr="006F4AA9">
        <w:rPr>
          <w:sz w:val="22"/>
          <w:szCs w:val="22"/>
        </w:rPr>
        <w:t>ectively”.</w:t>
      </w:r>
    </w:p>
    <w:p w14:paraId="3E5DF139" w14:textId="715E22E7" w:rsidR="008E4DDF" w:rsidRPr="006F4AA9" w:rsidRDefault="008E4DDF" w:rsidP="008E4DDF">
      <w:pPr>
        <w:numPr>
          <w:ilvl w:val="0"/>
          <w:numId w:val="4"/>
        </w:numPr>
        <w:overflowPunct/>
        <w:autoSpaceDE/>
        <w:autoSpaceDN/>
        <w:adjustRightInd/>
        <w:spacing w:after="240" w:line="240" w:lineRule="auto"/>
        <w:ind w:left="499" w:hanging="357"/>
        <w:textAlignment w:val="auto"/>
        <w:rPr>
          <w:sz w:val="22"/>
          <w:szCs w:val="22"/>
        </w:rPr>
      </w:pPr>
      <w:r w:rsidRPr="006F4AA9">
        <w:rPr>
          <w:sz w:val="22"/>
          <w:szCs w:val="22"/>
        </w:rPr>
        <w:t>In your paper title, if the words “that uses” can accurately replace the word “using”, capitalize the “u”; if not, keep using lower-cased.</w:t>
      </w:r>
    </w:p>
    <w:p w14:paraId="34FBF166" w14:textId="77777777" w:rsidR="008E4DDF" w:rsidRPr="006F4AA9" w:rsidRDefault="008E4DDF" w:rsidP="008E4DDF">
      <w:pPr>
        <w:numPr>
          <w:ilvl w:val="0"/>
          <w:numId w:val="4"/>
        </w:numPr>
        <w:overflowPunct/>
        <w:autoSpaceDE/>
        <w:autoSpaceDN/>
        <w:adjustRightInd/>
        <w:spacing w:after="240" w:line="240" w:lineRule="auto"/>
        <w:ind w:left="499" w:hanging="357"/>
        <w:textAlignment w:val="auto"/>
        <w:rPr>
          <w:sz w:val="22"/>
          <w:szCs w:val="22"/>
        </w:rPr>
      </w:pPr>
      <w:r w:rsidRPr="006F4AA9">
        <w:rPr>
          <w:sz w:val="22"/>
          <w:szCs w:val="22"/>
        </w:rPr>
        <w:t>Be aware of the di</w:t>
      </w:r>
      <w:r w:rsidRPr="006F4AA9">
        <w:rPr>
          <w:rFonts w:eastAsia="Calibri"/>
          <w:sz w:val="22"/>
          <w:szCs w:val="22"/>
        </w:rPr>
        <w:t>ff</w:t>
      </w:r>
      <w:r w:rsidRPr="006F4AA9">
        <w:rPr>
          <w:sz w:val="22"/>
          <w:szCs w:val="22"/>
        </w:rPr>
        <w:t>erent meanings of the homophones “a</w:t>
      </w:r>
      <w:r w:rsidRPr="006F4AA9">
        <w:rPr>
          <w:rFonts w:eastAsia="Calibri"/>
          <w:sz w:val="22"/>
          <w:szCs w:val="22"/>
        </w:rPr>
        <w:t>ff</w:t>
      </w:r>
      <w:r w:rsidRPr="006F4AA9">
        <w:rPr>
          <w:sz w:val="22"/>
          <w:szCs w:val="22"/>
        </w:rPr>
        <w:t>ect” and “e</w:t>
      </w:r>
      <w:r w:rsidRPr="006F4AA9">
        <w:rPr>
          <w:rFonts w:eastAsia="Calibri"/>
          <w:sz w:val="22"/>
          <w:szCs w:val="22"/>
        </w:rPr>
        <w:t>ff</w:t>
      </w:r>
      <w:r w:rsidRPr="006F4AA9">
        <w:rPr>
          <w:sz w:val="22"/>
          <w:szCs w:val="22"/>
        </w:rPr>
        <w:t>ect”, “complement” and “compliment”, “discreet” and “discrete”, “principal” and “principle”.</w:t>
      </w:r>
    </w:p>
    <w:p w14:paraId="406899CA" w14:textId="77777777" w:rsidR="008E4DDF" w:rsidRPr="006F4AA9" w:rsidRDefault="008E4DDF" w:rsidP="008E4DDF">
      <w:pPr>
        <w:numPr>
          <w:ilvl w:val="0"/>
          <w:numId w:val="4"/>
        </w:numPr>
        <w:overflowPunct/>
        <w:autoSpaceDE/>
        <w:autoSpaceDN/>
        <w:adjustRightInd/>
        <w:spacing w:after="240" w:line="240" w:lineRule="auto"/>
        <w:ind w:left="499" w:hanging="357"/>
        <w:textAlignment w:val="auto"/>
        <w:rPr>
          <w:sz w:val="22"/>
          <w:szCs w:val="22"/>
        </w:rPr>
      </w:pPr>
      <w:r w:rsidRPr="006F4AA9">
        <w:rPr>
          <w:sz w:val="22"/>
          <w:szCs w:val="22"/>
        </w:rPr>
        <w:t>Do not confuse “imply” and “infer”.</w:t>
      </w:r>
    </w:p>
    <w:p w14:paraId="07E0BC05" w14:textId="77777777" w:rsidR="008E4DDF" w:rsidRPr="006F4AA9" w:rsidRDefault="008E4DDF" w:rsidP="008E4DDF">
      <w:pPr>
        <w:numPr>
          <w:ilvl w:val="0"/>
          <w:numId w:val="4"/>
        </w:numPr>
        <w:overflowPunct/>
        <w:autoSpaceDE/>
        <w:autoSpaceDN/>
        <w:adjustRightInd/>
        <w:spacing w:after="240" w:line="240" w:lineRule="auto"/>
        <w:ind w:left="499" w:hanging="357"/>
        <w:textAlignment w:val="auto"/>
        <w:rPr>
          <w:sz w:val="22"/>
          <w:szCs w:val="22"/>
        </w:rPr>
      </w:pPr>
      <w:r w:rsidRPr="006F4AA9">
        <w:rPr>
          <w:sz w:val="22"/>
          <w:szCs w:val="22"/>
        </w:rPr>
        <w:t>The prefix “non” is not a word; it should be joined to the word it modifies, usually without a hyphen.</w:t>
      </w:r>
    </w:p>
    <w:p w14:paraId="5399B2EE" w14:textId="77777777" w:rsidR="008E4DDF" w:rsidRPr="006F4AA9" w:rsidRDefault="008E4DDF" w:rsidP="008E4DDF">
      <w:pPr>
        <w:numPr>
          <w:ilvl w:val="0"/>
          <w:numId w:val="4"/>
        </w:numPr>
        <w:overflowPunct/>
        <w:autoSpaceDE/>
        <w:autoSpaceDN/>
        <w:adjustRightInd/>
        <w:spacing w:after="240" w:line="240" w:lineRule="auto"/>
        <w:ind w:left="499" w:hanging="357"/>
        <w:textAlignment w:val="auto"/>
        <w:rPr>
          <w:sz w:val="22"/>
          <w:szCs w:val="22"/>
        </w:rPr>
      </w:pPr>
      <w:r w:rsidRPr="006F4AA9">
        <w:rPr>
          <w:sz w:val="22"/>
          <w:szCs w:val="22"/>
        </w:rPr>
        <w:t>There is no period after the “et” in the Latin abbreviation “et al.”.</w:t>
      </w:r>
    </w:p>
    <w:p w14:paraId="4A722742" w14:textId="77777777" w:rsidR="008E4DDF" w:rsidRDefault="008E4DDF" w:rsidP="008E4DDF">
      <w:pPr>
        <w:numPr>
          <w:ilvl w:val="0"/>
          <w:numId w:val="4"/>
        </w:numPr>
        <w:overflowPunct/>
        <w:autoSpaceDE/>
        <w:autoSpaceDN/>
        <w:adjustRightInd/>
        <w:spacing w:after="240" w:line="240" w:lineRule="auto"/>
        <w:ind w:left="499" w:hanging="357"/>
        <w:textAlignment w:val="auto"/>
        <w:rPr>
          <w:sz w:val="22"/>
          <w:szCs w:val="22"/>
        </w:rPr>
      </w:pPr>
      <w:r w:rsidRPr="006F4AA9">
        <w:rPr>
          <w:sz w:val="22"/>
          <w:szCs w:val="22"/>
        </w:rPr>
        <w:t>The abbreviation “i.e.” means “that is”, and the abbreviation “e.g.” means “for example”.</w:t>
      </w:r>
    </w:p>
    <w:p w14:paraId="1858DDCE" w14:textId="77777777" w:rsidR="008E4DDF" w:rsidRPr="00851557" w:rsidRDefault="008E4DDF" w:rsidP="008E4DDF">
      <w:pPr>
        <w:pStyle w:val="heading1"/>
        <w:numPr>
          <w:ilvl w:val="0"/>
          <w:numId w:val="0"/>
        </w:numPr>
        <w:ind w:left="567" w:hanging="567"/>
        <w:rPr>
          <w:sz w:val="30"/>
          <w:szCs w:val="30"/>
        </w:rPr>
      </w:pPr>
      <w:r>
        <w:rPr>
          <w:sz w:val="30"/>
          <w:szCs w:val="30"/>
        </w:rPr>
        <w:t>3</w:t>
      </w:r>
      <w:r w:rsidRPr="00851557">
        <w:rPr>
          <w:sz w:val="30"/>
          <w:szCs w:val="30"/>
        </w:rPr>
        <w:t xml:space="preserve">. </w:t>
      </w:r>
      <w:r>
        <w:rPr>
          <w:sz w:val="30"/>
          <w:szCs w:val="30"/>
        </w:rPr>
        <w:t>Conclusions</w:t>
      </w:r>
    </w:p>
    <w:p w14:paraId="2441DE9C" w14:textId="77777777" w:rsidR="008E4DDF" w:rsidRDefault="008E4DDF" w:rsidP="008E4DDF">
      <w:pPr>
        <w:overflowPunct/>
        <w:autoSpaceDE/>
        <w:autoSpaceDN/>
        <w:adjustRightInd/>
        <w:spacing w:after="240" w:line="240" w:lineRule="auto"/>
        <w:ind w:firstLine="0"/>
        <w:textAlignment w:val="auto"/>
        <w:rPr>
          <w:b/>
          <w:sz w:val="24"/>
        </w:rPr>
      </w:pPr>
      <w:r w:rsidRPr="006F4AA9">
        <w:rPr>
          <w:sz w:val="22"/>
          <w:szCs w:val="22"/>
        </w:rPr>
        <w:t>The conclusions go here.</w:t>
      </w:r>
    </w:p>
    <w:p w14:paraId="0E05D80C" w14:textId="77777777" w:rsidR="008E4DDF" w:rsidRPr="00851557" w:rsidRDefault="008E4DDF" w:rsidP="008E4DDF">
      <w:pPr>
        <w:pStyle w:val="heading1"/>
        <w:numPr>
          <w:ilvl w:val="0"/>
          <w:numId w:val="0"/>
        </w:numPr>
        <w:ind w:left="567" w:hanging="567"/>
        <w:rPr>
          <w:sz w:val="30"/>
          <w:szCs w:val="30"/>
        </w:rPr>
      </w:pPr>
      <w:r>
        <w:rPr>
          <w:sz w:val="30"/>
          <w:szCs w:val="30"/>
        </w:rPr>
        <w:lastRenderedPageBreak/>
        <w:t>Acknowledgment</w:t>
      </w:r>
    </w:p>
    <w:p w14:paraId="113E01E1" w14:textId="77777777" w:rsidR="008E4DDF" w:rsidRPr="006F4AA9" w:rsidRDefault="008E4DDF" w:rsidP="008E4DDF">
      <w:pPr>
        <w:overflowPunct/>
        <w:autoSpaceDE/>
        <w:autoSpaceDN/>
        <w:adjustRightInd/>
        <w:spacing w:after="240" w:line="240" w:lineRule="auto"/>
        <w:ind w:firstLine="0"/>
        <w:textAlignment w:val="auto"/>
        <w:rPr>
          <w:sz w:val="22"/>
          <w:szCs w:val="22"/>
        </w:rPr>
      </w:pPr>
      <w:r w:rsidRPr="006F4AA9">
        <w:rPr>
          <w:sz w:val="22"/>
          <w:szCs w:val="22"/>
        </w:rPr>
        <w:t>The authors would like to thank …</w:t>
      </w:r>
    </w:p>
    <w:p w14:paraId="12DACD16" w14:textId="77777777" w:rsidR="008E4DDF" w:rsidRDefault="008E4DDF" w:rsidP="007E7D73">
      <w:pPr>
        <w:pStyle w:val="heading1"/>
        <w:numPr>
          <w:ilvl w:val="0"/>
          <w:numId w:val="0"/>
        </w:numPr>
        <w:tabs>
          <w:tab w:val="left" w:pos="5687"/>
        </w:tabs>
        <w:rPr>
          <w:sz w:val="30"/>
          <w:szCs w:val="30"/>
        </w:rPr>
      </w:pPr>
      <w:r w:rsidRPr="006F4AA9">
        <w:rPr>
          <w:sz w:val="30"/>
          <w:szCs w:val="30"/>
        </w:rPr>
        <w:t>References</w:t>
      </w:r>
      <w:r w:rsidRPr="006F4AA9">
        <w:rPr>
          <w:sz w:val="30"/>
          <w:szCs w:val="30"/>
        </w:rPr>
        <w:tab/>
      </w:r>
    </w:p>
    <w:p w14:paraId="6EFA8F3E" w14:textId="77777777" w:rsidR="007E7D73" w:rsidRPr="007E7D73" w:rsidRDefault="007E7D73" w:rsidP="008F25E5">
      <w:pPr>
        <w:pStyle w:val="p1a"/>
        <w:numPr>
          <w:ilvl w:val="0"/>
          <w:numId w:val="6"/>
        </w:numPr>
        <w:ind w:left="363"/>
        <w:rPr>
          <w:sz w:val="22"/>
          <w:szCs w:val="22"/>
        </w:rPr>
      </w:pPr>
      <w:r w:rsidRPr="007E7D73">
        <w:rPr>
          <w:sz w:val="22"/>
          <w:szCs w:val="22"/>
        </w:rPr>
        <w:t xml:space="preserve">Calonder, M., Lepetit, V., Strecha, C., and Fua, P. BRIEF: Binary robust independent elementary features. In </w:t>
      </w:r>
      <w:r w:rsidRPr="007E7D73">
        <w:rPr>
          <w:i/>
          <w:sz w:val="22"/>
          <w:szCs w:val="22"/>
        </w:rPr>
        <w:t>Computer Vision – ECCV 2010</w:t>
      </w:r>
      <w:r w:rsidRPr="007E7D73">
        <w:rPr>
          <w:sz w:val="22"/>
          <w:szCs w:val="22"/>
        </w:rPr>
        <w:t>, pages 778– 792. Springer Berlin Heidelberg, 2010. doi:10.1007/978-3-642-15561-1_56.</w:t>
      </w:r>
    </w:p>
    <w:p w14:paraId="1D563DF4" w14:textId="77777777" w:rsidR="007E7D73" w:rsidRPr="007E7D73" w:rsidRDefault="007E7D73" w:rsidP="008F25E5">
      <w:pPr>
        <w:pStyle w:val="Akapitzlist"/>
        <w:numPr>
          <w:ilvl w:val="0"/>
          <w:numId w:val="6"/>
        </w:numPr>
        <w:ind w:left="363"/>
        <w:rPr>
          <w:sz w:val="22"/>
          <w:szCs w:val="22"/>
        </w:rPr>
      </w:pPr>
      <w:r w:rsidRPr="007E7D73">
        <w:rPr>
          <w:sz w:val="22"/>
          <w:szCs w:val="22"/>
        </w:rPr>
        <w:t xml:space="preserve">Lambooij, M., IJsselsteijn, W., Fortuin, M., and Heynderickx, I. Visual discomfort and visual fatigue of stereoscopic displays: A review. </w:t>
      </w:r>
      <w:r w:rsidRPr="007E7D73">
        <w:rPr>
          <w:i/>
          <w:sz w:val="22"/>
          <w:szCs w:val="22"/>
        </w:rPr>
        <w:t>Journal of Imaging Science and Technology</w:t>
      </w:r>
      <w:r w:rsidRPr="007E7D73">
        <w:rPr>
          <w:sz w:val="22"/>
          <w:szCs w:val="22"/>
        </w:rPr>
        <w:t>, 53(3):030201, 2009. doi:10. 2352/j.imagingsci.technol.2009.53.3.030201. URL http://example.com/ example-of-properly-inserted-long-url.</w:t>
      </w:r>
    </w:p>
    <w:p w14:paraId="10937A02" w14:textId="77777777" w:rsidR="007A4617" w:rsidRPr="007E7D73" w:rsidRDefault="007E7D73" w:rsidP="008F25E5">
      <w:pPr>
        <w:pStyle w:val="Akapitzlist"/>
        <w:numPr>
          <w:ilvl w:val="0"/>
          <w:numId w:val="6"/>
        </w:numPr>
        <w:ind w:left="363"/>
        <w:rPr>
          <w:sz w:val="22"/>
          <w:szCs w:val="22"/>
        </w:rPr>
      </w:pPr>
      <w:r w:rsidRPr="007E7D73">
        <w:rPr>
          <w:sz w:val="22"/>
          <w:szCs w:val="22"/>
        </w:rPr>
        <w:t xml:space="preserve">Rendering. In </w:t>
      </w:r>
      <w:r w:rsidRPr="007E7D73">
        <w:rPr>
          <w:i/>
          <w:sz w:val="22"/>
          <w:szCs w:val="22"/>
        </w:rPr>
        <w:t>GPU PRO 3</w:t>
      </w:r>
      <w:r w:rsidRPr="007E7D73">
        <w:rPr>
          <w:sz w:val="22"/>
          <w:szCs w:val="22"/>
        </w:rPr>
        <w:t>, pages 89–90. A K Peters/CRC Press, 2012. doi: 10.1201/b11642-7.</w:t>
      </w:r>
    </w:p>
    <w:sectPr w:rsidR="007A4617" w:rsidRPr="007E7D73" w:rsidSect="000C4980">
      <w:headerReference w:type="even" r:id="rId10"/>
      <w:headerReference w:type="default" r:id="rId11"/>
      <w:headerReference w:type="first" r:id="rId12"/>
      <w:pgSz w:w="9962" w:h="14158" w:code="9"/>
      <w:pgMar w:top="1985" w:right="1418" w:bottom="1985" w:left="1418" w:header="1417" w:footer="1417" w:gutter="0"/>
      <w:cols w:space="22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2B21" w14:textId="77777777" w:rsidR="00572116" w:rsidRDefault="00572116" w:rsidP="008E4DDF">
      <w:pPr>
        <w:spacing w:line="240" w:lineRule="auto"/>
      </w:pPr>
      <w:r>
        <w:separator/>
      </w:r>
    </w:p>
  </w:endnote>
  <w:endnote w:type="continuationSeparator" w:id="0">
    <w:p w14:paraId="74E42446" w14:textId="77777777" w:rsidR="00572116" w:rsidRDefault="00572116" w:rsidP="008E4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48AB" w14:textId="77777777" w:rsidR="00572116" w:rsidRDefault="00572116" w:rsidP="008E4DDF">
      <w:pPr>
        <w:spacing w:line="240" w:lineRule="auto"/>
      </w:pPr>
      <w:r>
        <w:separator/>
      </w:r>
    </w:p>
  </w:footnote>
  <w:footnote w:type="continuationSeparator" w:id="0">
    <w:p w14:paraId="1C9C3BC0" w14:textId="77777777" w:rsidR="00572116" w:rsidRDefault="00572116" w:rsidP="008E4DDF">
      <w:pPr>
        <w:spacing w:line="240" w:lineRule="auto"/>
      </w:pPr>
      <w:r>
        <w:continuationSeparator/>
      </w:r>
    </w:p>
  </w:footnote>
  <w:footnote w:id="1">
    <w:p w14:paraId="77BCD52E" w14:textId="77777777" w:rsidR="008E4DDF" w:rsidRPr="000C4980" w:rsidRDefault="008E4DDF" w:rsidP="008E4DDF">
      <w:pPr>
        <w:pStyle w:val="footnotedescription"/>
        <w:rPr>
          <w:rFonts w:ascii="Times New Roman" w:hAnsi="Times New Roman" w:cs="Times New Roman"/>
        </w:rPr>
      </w:pPr>
      <w:r w:rsidRPr="000C4980">
        <w:rPr>
          <w:rStyle w:val="footnotemark"/>
          <w:rFonts w:ascii="Times New Roman" w:hAnsi="Times New Roman" w:cs="Times New Roman"/>
        </w:rPr>
        <w:footnoteRef/>
      </w:r>
      <w:r w:rsidRPr="000C4980">
        <w:rPr>
          <w:rFonts w:ascii="Times New Roman" w:hAnsi="Times New Roman" w:cs="Times New Roman"/>
        </w:rPr>
        <w:t xml:space="preserve"> The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677D" w14:textId="77777777" w:rsidR="00851D57" w:rsidRDefault="00851D57" w:rsidP="00315A32">
    <w:pPr>
      <w:pStyle w:val="Nagwek"/>
      <w:framePr w:wrap="none" w:vAnchor="text" w:hAnchor="margin" w:xAlign="outside" w:y="1"/>
      <w:rPr>
        <w:rStyle w:val="Numerstrony"/>
      </w:rPr>
    </w:pPr>
  </w:p>
  <w:p w14:paraId="65F11407" w14:textId="77777777" w:rsidR="000F5440" w:rsidRPr="00676AE3" w:rsidRDefault="00676AE3" w:rsidP="00A61FC7">
    <w:pPr>
      <w:pStyle w:val="Nagwek"/>
      <w:pBdr>
        <w:bottom w:val="single" w:sz="4" w:space="1" w:color="auto"/>
      </w:pBdr>
      <w:rPr>
        <w:sz w:val="22"/>
        <w:szCs w:val="22"/>
      </w:rPr>
    </w:pPr>
    <w:r w:rsidRPr="00676AE3">
      <w:rPr>
        <w:sz w:val="22"/>
        <w:szCs w:val="22"/>
      </w:rPr>
      <w:fldChar w:fldCharType="begin"/>
    </w:r>
    <w:r w:rsidRPr="00676AE3">
      <w:rPr>
        <w:sz w:val="22"/>
        <w:szCs w:val="22"/>
      </w:rPr>
      <w:instrText xml:space="preserve"> PAGE  \* MERGEFORMAT </w:instrText>
    </w:r>
    <w:r w:rsidRPr="00676AE3">
      <w:rPr>
        <w:sz w:val="22"/>
        <w:szCs w:val="22"/>
      </w:rPr>
      <w:fldChar w:fldCharType="separate"/>
    </w:r>
    <w:r w:rsidRPr="00676AE3">
      <w:rPr>
        <w:noProof/>
        <w:sz w:val="22"/>
        <w:szCs w:val="22"/>
      </w:rPr>
      <w:t>2</w:t>
    </w:r>
    <w:r w:rsidRPr="00676AE3">
      <w:rPr>
        <w:sz w:val="22"/>
        <w:szCs w:val="22"/>
      </w:rPr>
      <w:fldChar w:fldCharType="end"/>
    </w:r>
    <w:r w:rsidR="008E4DDF" w:rsidRPr="00676AE3">
      <w:rPr>
        <w:sz w:val="22"/>
        <w:szCs w:val="22"/>
      </w:rPr>
      <w:ptab w:relativeTo="margin" w:alignment="center" w:leader="none"/>
    </w:r>
    <w:r w:rsidR="00851D57" w:rsidRPr="00676AE3">
      <w:rPr>
        <w:i/>
        <w:iCs/>
        <w:sz w:val="22"/>
        <w:szCs w:val="22"/>
      </w:rPr>
      <w:t>Conference contribution title</w:t>
    </w:r>
    <w:r w:rsidR="008E4DDF" w:rsidRPr="00676AE3">
      <w:rPr>
        <w:sz w:val="22"/>
        <w:szCs w:val="22"/>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1220" w14:textId="77777777" w:rsidR="008E4DDF" w:rsidRDefault="008E4DDF" w:rsidP="00851D57">
    <w:pPr>
      <w:pStyle w:val="Nagwek"/>
      <w:framePr w:wrap="none" w:vAnchor="text" w:hAnchor="margin" w:xAlign="inside" w:y="1"/>
      <w:ind w:right="360" w:firstLine="360"/>
      <w:rPr>
        <w:rStyle w:val="Numerstrony"/>
      </w:rPr>
    </w:pPr>
  </w:p>
  <w:p w14:paraId="25CD5C6C" w14:textId="77777777" w:rsidR="000F5440" w:rsidRPr="00676AE3" w:rsidRDefault="008E4DDF" w:rsidP="00A61FC7">
    <w:pPr>
      <w:pStyle w:val="Nagwek"/>
      <w:pBdr>
        <w:bottom w:val="single" w:sz="4" w:space="1" w:color="auto"/>
      </w:pBdr>
      <w:tabs>
        <w:tab w:val="clear" w:pos="4536"/>
        <w:tab w:val="center" w:pos="4535"/>
      </w:tabs>
      <w:ind w:firstLine="357"/>
      <w:rPr>
        <w:sz w:val="22"/>
        <w:szCs w:val="22"/>
        <w:lang w:val="pl-PL"/>
      </w:rPr>
    </w:pPr>
    <w:r w:rsidRPr="00676AE3">
      <w:rPr>
        <w:sz w:val="22"/>
        <w:szCs w:val="22"/>
      </w:rPr>
      <w:ptab w:relativeTo="margin" w:alignment="center" w:leader="none"/>
    </w:r>
    <w:r w:rsidRPr="00676AE3">
      <w:rPr>
        <w:i/>
        <w:iCs/>
        <w:sz w:val="22"/>
        <w:szCs w:val="22"/>
        <w:lang w:val="pl-PL"/>
      </w:rPr>
      <w:t>J. Kowalski, S. Nowak</w:t>
    </w:r>
    <w:r w:rsidRPr="00676AE3">
      <w:rPr>
        <w:sz w:val="22"/>
        <w:szCs w:val="22"/>
      </w:rPr>
      <w:ptab w:relativeTo="margin" w:alignment="right" w:leader="none"/>
    </w:r>
    <w:r w:rsidR="00676AE3" w:rsidRPr="00676AE3">
      <w:rPr>
        <w:sz w:val="22"/>
        <w:szCs w:val="22"/>
      </w:rPr>
      <w:fldChar w:fldCharType="begin"/>
    </w:r>
    <w:r w:rsidR="00676AE3" w:rsidRPr="00676AE3">
      <w:rPr>
        <w:sz w:val="22"/>
        <w:szCs w:val="22"/>
      </w:rPr>
      <w:instrText xml:space="preserve"> PAGE  \* MERGEFORMAT </w:instrText>
    </w:r>
    <w:r w:rsidR="00676AE3" w:rsidRPr="00676AE3">
      <w:rPr>
        <w:sz w:val="22"/>
        <w:szCs w:val="22"/>
      </w:rPr>
      <w:fldChar w:fldCharType="separate"/>
    </w:r>
    <w:r w:rsidR="00676AE3" w:rsidRPr="00676AE3">
      <w:rPr>
        <w:noProof/>
        <w:sz w:val="22"/>
        <w:szCs w:val="22"/>
      </w:rPr>
      <w:t>4</w:t>
    </w:r>
    <w:r w:rsidR="00676AE3" w:rsidRPr="00676AE3">
      <w:rPr>
        <w:sz w:val="22"/>
        <w:szCs w:val="22"/>
      </w:rPr>
      <w:fldChar w:fldCharType="end"/>
    </w:r>
  </w:p>
  <w:p w14:paraId="525F6C62" w14:textId="77777777" w:rsidR="00676AE3" w:rsidRDefault="00676A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847A" w14:textId="77777777" w:rsidR="000F5440" w:rsidRDefault="000F5440">
    <w:pPr>
      <w:pStyle w:val="Nagwek"/>
    </w:pPr>
  </w:p>
  <w:p w14:paraId="69960573" w14:textId="77777777" w:rsidR="000F5440" w:rsidRDefault="000F54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3C0"/>
    <w:multiLevelType w:val="hybridMultilevel"/>
    <w:tmpl w:val="FB908B30"/>
    <w:lvl w:ilvl="0" w:tplc="260C1580">
      <w:start w:val="1"/>
      <w:numFmt w:val="decimal"/>
      <w:lvlText w:val="[%1]"/>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A682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6815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44B6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E410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A06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4C8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581D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0AA2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FC375B"/>
    <w:multiLevelType w:val="hybridMultilevel"/>
    <w:tmpl w:val="BBBA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44DA"/>
    <w:multiLevelType w:val="hybridMultilevel"/>
    <w:tmpl w:val="921232BA"/>
    <w:lvl w:ilvl="0" w:tplc="3AE8359A">
      <w:start w:val="1"/>
      <w:numFmt w:val="decimal"/>
      <w:lvlText w:val="[%1]"/>
      <w:lvlJc w:val="left"/>
      <w:pPr>
        <w:ind w:left="720" w:hanging="36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3" w15:restartNumberingAfterBreak="0">
    <w:nsid w:val="3AEC345A"/>
    <w:multiLevelType w:val="hybridMultilevel"/>
    <w:tmpl w:val="048A7ADC"/>
    <w:lvl w:ilvl="0" w:tplc="08090001">
      <w:start w:val="1"/>
      <w:numFmt w:val="bullet"/>
      <w:lvlText w:val=""/>
      <w:lvlJc w:val="left"/>
      <w:pPr>
        <w:ind w:left="587" w:hanging="360"/>
      </w:pPr>
      <w:rPr>
        <w:rFonts w:ascii="Symbol" w:hAnsi="Symbol" w:hint="default"/>
      </w:rPr>
    </w:lvl>
    <w:lvl w:ilvl="1" w:tplc="FFFFFFFF" w:tentative="1">
      <w:start w:val="1"/>
      <w:numFmt w:val="bullet"/>
      <w:lvlText w:val="o"/>
      <w:lvlJc w:val="left"/>
      <w:pPr>
        <w:ind w:left="1307" w:hanging="360"/>
      </w:pPr>
      <w:rPr>
        <w:rFonts w:ascii="Courier New" w:hAnsi="Courier New" w:cs="Courier New" w:hint="default"/>
      </w:rPr>
    </w:lvl>
    <w:lvl w:ilvl="2" w:tplc="FFFFFFFF" w:tentative="1">
      <w:start w:val="1"/>
      <w:numFmt w:val="bullet"/>
      <w:lvlText w:val=""/>
      <w:lvlJc w:val="left"/>
      <w:pPr>
        <w:ind w:left="2027" w:hanging="360"/>
      </w:pPr>
      <w:rPr>
        <w:rFonts w:ascii="Wingdings" w:hAnsi="Wingdings" w:hint="default"/>
      </w:rPr>
    </w:lvl>
    <w:lvl w:ilvl="3" w:tplc="FFFFFFFF" w:tentative="1">
      <w:start w:val="1"/>
      <w:numFmt w:val="bullet"/>
      <w:lvlText w:val=""/>
      <w:lvlJc w:val="left"/>
      <w:pPr>
        <w:ind w:left="2747" w:hanging="360"/>
      </w:pPr>
      <w:rPr>
        <w:rFonts w:ascii="Symbol" w:hAnsi="Symbol" w:hint="default"/>
      </w:rPr>
    </w:lvl>
    <w:lvl w:ilvl="4" w:tplc="FFFFFFFF" w:tentative="1">
      <w:start w:val="1"/>
      <w:numFmt w:val="bullet"/>
      <w:lvlText w:val="o"/>
      <w:lvlJc w:val="left"/>
      <w:pPr>
        <w:ind w:left="3467" w:hanging="360"/>
      </w:pPr>
      <w:rPr>
        <w:rFonts w:ascii="Courier New" w:hAnsi="Courier New" w:cs="Courier New" w:hint="default"/>
      </w:rPr>
    </w:lvl>
    <w:lvl w:ilvl="5" w:tplc="FFFFFFFF" w:tentative="1">
      <w:start w:val="1"/>
      <w:numFmt w:val="bullet"/>
      <w:lvlText w:val=""/>
      <w:lvlJc w:val="left"/>
      <w:pPr>
        <w:ind w:left="4187" w:hanging="360"/>
      </w:pPr>
      <w:rPr>
        <w:rFonts w:ascii="Wingdings" w:hAnsi="Wingdings" w:hint="default"/>
      </w:rPr>
    </w:lvl>
    <w:lvl w:ilvl="6" w:tplc="FFFFFFFF" w:tentative="1">
      <w:start w:val="1"/>
      <w:numFmt w:val="bullet"/>
      <w:lvlText w:val=""/>
      <w:lvlJc w:val="left"/>
      <w:pPr>
        <w:ind w:left="4907" w:hanging="360"/>
      </w:pPr>
      <w:rPr>
        <w:rFonts w:ascii="Symbol" w:hAnsi="Symbol" w:hint="default"/>
      </w:rPr>
    </w:lvl>
    <w:lvl w:ilvl="7" w:tplc="FFFFFFFF" w:tentative="1">
      <w:start w:val="1"/>
      <w:numFmt w:val="bullet"/>
      <w:lvlText w:val="o"/>
      <w:lvlJc w:val="left"/>
      <w:pPr>
        <w:ind w:left="5627" w:hanging="360"/>
      </w:pPr>
      <w:rPr>
        <w:rFonts w:ascii="Courier New" w:hAnsi="Courier New" w:cs="Courier New" w:hint="default"/>
      </w:rPr>
    </w:lvl>
    <w:lvl w:ilvl="8" w:tplc="FFFFFFFF" w:tentative="1">
      <w:start w:val="1"/>
      <w:numFmt w:val="bullet"/>
      <w:lvlText w:val=""/>
      <w:lvlJc w:val="left"/>
      <w:pPr>
        <w:ind w:left="6347" w:hanging="360"/>
      </w:pPr>
      <w:rPr>
        <w:rFonts w:ascii="Wingdings" w:hAnsi="Wingdings" w:hint="default"/>
      </w:rPr>
    </w:lvl>
  </w:abstractNum>
  <w:abstractNum w:abstractNumId="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2095584939">
    <w:abstractNumId w:val="4"/>
  </w:num>
  <w:num w:numId="2" w16cid:durableId="1203178530">
    <w:abstractNumId w:val="5"/>
  </w:num>
  <w:num w:numId="3" w16cid:durableId="209732598">
    <w:abstractNumId w:val="3"/>
  </w:num>
  <w:num w:numId="4" w16cid:durableId="1788890611">
    <w:abstractNumId w:val="1"/>
  </w:num>
  <w:num w:numId="5" w16cid:durableId="696853652">
    <w:abstractNumId w:val="0"/>
  </w:num>
  <w:num w:numId="6" w16cid:durableId="1569001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DF"/>
    <w:rsid w:val="000C4980"/>
    <w:rsid w:val="000F5440"/>
    <w:rsid w:val="00145D0E"/>
    <w:rsid w:val="001A70EA"/>
    <w:rsid w:val="00366421"/>
    <w:rsid w:val="004925CC"/>
    <w:rsid w:val="00572116"/>
    <w:rsid w:val="00676AE3"/>
    <w:rsid w:val="007A4617"/>
    <w:rsid w:val="007E7D73"/>
    <w:rsid w:val="00851D57"/>
    <w:rsid w:val="008E4DDF"/>
    <w:rsid w:val="008F25E5"/>
    <w:rsid w:val="00A61FC7"/>
    <w:rsid w:val="00A91F35"/>
    <w:rsid w:val="00B516EE"/>
    <w:rsid w:val="00D05AEF"/>
    <w:rsid w:val="00DD5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E683"/>
  <w15:chartTrackingRefBased/>
  <w15:docId w15:val="{A65471E1-594E-8D44-8BBF-A32C2693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DDF"/>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kern w:val="0"/>
      <w:sz w:val="20"/>
      <w:szCs w:val="20"/>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rsid w:val="008E4DDF"/>
    <w:pPr>
      <w:spacing w:before="600" w:after="360" w:line="220" w:lineRule="atLeast"/>
      <w:ind w:left="567" w:right="567"/>
      <w:contextualSpacing/>
    </w:pPr>
    <w:rPr>
      <w:sz w:val="18"/>
    </w:rPr>
  </w:style>
  <w:style w:type="paragraph" w:customStyle="1" w:styleId="address">
    <w:name w:val="address"/>
    <w:basedOn w:val="Normalny"/>
    <w:rsid w:val="008E4DDF"/>
    <w:pPr>
      <w:spacing w:after="200" w:line="220" w:lineRule="atLeast"/>
      <w:ind w:firstLine="0"/>
      <w:contextualSpacing/>
      <w:jc w:val="center"/>
    </w:pPr>
    <w:rPr>
      <w:sz w:val="18"/>
    </w:rPr>
  </w:style>
  <w:style w:type="paragraph" w:customStyle="1" w:styleId="author">
    <w:name w:val="author"/>
    <w:basedOn w:val="Normalny"/>
    <w:next w:val="address"/>
    <w:rsid w:val="008E4DDF"/>
    <w:pPr>
      <w:spacing w:after="200" w:line="220" w:lineRule="atLeast"/>
      <w:ind w:firstLine="0"/>
      <w:jc w:val="center"/>
    </w:pPr>
  </w:style>
  <w:style w:type="paragraph" w:customStyle="1" w:styleId="figurecaption">
    <w:name w:val="figurecaption"/>
    <w:basedOn w:val="Normalny"/>
    <w:next w:val="Normalny"/>
    <w:rsid w:val="008E4DDF"/>
    <w:pPr>
      <w:keepLines/>
      <w:spacing w:before="120" w:after="240" w:line="220" w:lineRule="atLeast"/>
      <w:ind w:firstLine="0"/>
      <w:jc w:val="center"/>
    </w:pPr>
    <w:rPr>
      <w:sz w:val="18"/>
    </w:rPr>
  </w:style>
  <w:style w:type="paragraph" w:customStyle="1" w:styleId="heading1">
    <w:name w:val="heading1"/>
    <w:basedOn w:val="Normalny"/>
    <w:next w:val="p1a"/>
    <w:qFormat/>
    <w:rsid w:val="008E4DDF"/>
    <w:pPr>
      <w:keepNext/>
      <w:keepLines/>
      <w:numPr>
        <w:numId w:val="1"/>
      </w:numPr>
      <w:suppressAutoHyphens/>
      <w:spacing w:before="360" w:after="240" w:line="300" w:lineRule="atLeast"/>
      <w:jc w:val="left"/>
      <w:outlineLvl w:val="0"/>
    </w:pPr>
    <w:rPr>
      <w:b/>
      <w:sz w:val="24"/>
    </w:rPr>
  </w:style>
  <w:style w:type="paragraph" w:customStyle="1" w:styleId="heading2">
    <w:name w:val="heading2"/>
    <w:basedOn w:val="Normalny"/>
    <w:next w:val="p1a"/>
    <w:qFormat/>
    <w:rsid w:val="008E4DDF"/>
    <w:pPr>
      <w:keepNext/>
      <w:keepLines/>
      <w:numPr>
        <w:ilvl w:val="1"/>
        <w:numId w:val="1"/>
      </w:numPr>
      <w:suppressAutoHyphens/>
      <w:spacing w:before="360" w:after="160"/>
      <w:jc w:val="left"/>
      <w:outlineLvl w:val="1"/>
    </w:pPr>
    <w:rPr>
      <w:b/>
    </w:rPr>
  </w:style>
  <w:style w:type="numbering" w:customStyle="1" w:styleId="headings">
    <w:name w:val="headings"/>
    <w:basedOn w:val="Bezlisty"/>
    <w:rsid w:val="008E4DDF"/>
    <w:pPr>
      <w:numPr>
        <w:numId w:val="1"/>
      </w:numPr>
    </w:pPr>
  </w:style>
  <w:style w:type="character" w:styleId="Hipercze">
    <w:name w:val="Hyperlink"/>
    <w:basedOn w:val="Domylnaczcionkaakapitu"/>
    <w:unhideWhenUsed/>
    <w:rsid w:val="008E4DDF"/>
    <w:rPr>
      <w:color w:val="auto"/>
      <w:u w:val="none"/>
    </w:rPr>
  </w:style>
  <w:style w:type="paragraph" w:customStyle="1" w:styleId="keywords">
    <w:name w:val="keywords"/>
    <w:basedOn w:val="abstract"/>
    <w:next w:val="heading1"/>
    <w:rsid w:val="008E4DDF"/>
    <w:pPr>
      <w:spacing w:before="220"/>
      <w:ind w:firstLine="0"/>
      <w:contextualSpacing w:val="0"/>
      <w:jc w:val="left"/>
    </w:pPr>
  </w:style>
  <w:style w:type="paragraph" w:styleId="Nagwek">
    <w:name w:val="header"/>
    <w:basedOn w:val="Normalny"/>
    <w:link w:val="NagwekZnak"/>
    <w:unhideWhenUsed/>
    <w:rsid w:val="008E4DDF"/>
    <w:pPr>
      <w:tabs>
        <w:tab w:val="center" w:pos="4536"/>
        <w:tab w:val="right" w:pos="9072"/>
      </w:tabs>
      <w:ind w:firstLine="0"/>
    </w:pPr>
    <w:rPr>
      <w:sz w:val="18"/>
      <w:szCs w:val="18"/>
    </w:rPr>
  </w:style>
  <w:style w:type="character" w:customStyle="1" w:styleId="NagwekZnak">
    <w:name w:val="Nagłówek Znak"/>
    <w:basedOn w:val="Domylnaczcionkaakapitu"/>
    <w:link w:val="Nagwek"/>
    <w:rsid w:val="008E4DDF"/>
    <w:rPr>
      <w:rFonts w:ascii="Times New Roman" w:eastAsia="Times New Roman" w:hAnsi="Times New Roman" w:cs="Times New Roman"/>
      <w:kern w:val="0"/>
      <w:sz w:val="18"/>
      <w:szCs w:val="18"/>
      <w:lang w:val="en-US"/>
      <w14:ligatures w14:val="none"/>
    </w:rPr>
  </w:style>
  <w:style w:type="paragraph" w:customStyle="1" w:styleId="p1a">
    <w:name w:val="p1a"/>
    <w:basedOn w:val="Normalny"/>
    <w:next w:val="Normalny"/>
    <w:rsid w:val="008E4DDF"/>
    <w:pPr>
      <w:ind w:firstLine="0"/>
    </w:pPr>
  </w:style>
  <w:style w:type="paragraph" w:customStyle="1" w:styleId="referenceitem">
    <w:name w:val="referenceitem"/>
    <w:basedOn w:val="Normalny"/>
    <w:rsid w:val="008E4DDF"/>
    <w:pPr>
      <w:numPr>
        <w:numId w:val="2"/>
      </w:numPr>
      <w:spacing w:line="220" w:lineRule="atLeast"/>
    </w:pPr>
    <w:rPr>
      <w:sz w:val="18"/>
    </w:rPr>
  </w:style>
  <w:style w:type="numbering" w:customStyle="1" w:styleId="referencelist">
    <w:name w:val="referencelist"/>
    <w:basedOn w:val="Bezlisty"/>
    <w:semiHidden/>
    <w:rsid w:val="008E4DDF"/>
    <w:pPr>
      <w:numPr>
        <w:numId w:val="2"/>
      </w:numPr>
    </w:pPr>
  </w:style>
  <w:style w:type="paragraph" w:customStyle="1" w:styleId="papertitle">
    <w:name w:val="papertitle"/>
    <w:basedOn w:val="Normalny"/>
    <w:next w:val="author"/>
    <w:rsid w:val="008E4DDF"/>
    <w:pPr>
      <w:keepNext/>
      <w:keepLines/>
      <w:suppressAutoHyphens/>
      <w:spacing w:after="480" w:line="360" w:lineRule="atLeast"/>
      <w:ind w:firstLine="0"/>
      <w:jc w:val="center"/>
    </w:pPr>
    <w:rPr>
      <w:b/>
      <w:sz w:val="28"/>
    </w:rPr>
  </w:style>
  <w:style w:type="character" w:customStyle="1" w:styleId="ORCID">
    <w:name w:val="ORCID"/>
    <w:basedOn w:val="Domylnaczcionkaakapitu"/>
    <w:rsid w:val="008E4DDF"/>
    <w:rPr>
      <w:position w:val="0"/>
      <w:vertAlign w:val="superscript"/>
    </w:rPr>
  </w:style>
  <w:style w:type="paragraph" w:customStyle="1" w:styleId="footnotedescription">
    <w:name w:val="footnote description"/>
    <w:next w:val="Normalny"/>
    <w:link w:val="footnotedescriptionChar"/>
    <w:hidden/>
    <w:rsid w:val="008E4DDF"/>
    <w:pPr>
      <w:spacing w:line="259" w:lineRule="auto"/>
      <w:ind w:left="253"/>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8E4DDF"/>
    <w:rPr>
      <w:rFonts w:ascii="Calibri" w:eastAsia="Calibri" w:hAnsi="Calibri" w:cs="Calibri"/>
      <w:color w:val="000000"/>
      <w:sz w:val="18"/>
      <w:lang w:eastAsia="en-GB"/>
    </w:rPr>
  </w:style>
  <w:style w:type="character" w:customStyle="1" w:styleId="footnotemark">
    <w:name w:val="footnote mark"/>
    <w:hidden/>
    <w:rsid w:val="008E4DDF"/>
    <w:rPr>
      <w:rFonts w:ascii="Calibri" w:eastAsia="Calibri" w:hAnsi="Calibri" w:cs="Calibri"/>
      <w:color w:val="000000"/>
      <w:sz w:val="18"/>
      <w:vertAlign w:val="superscript"/>
    </w:rPr>
  </w:style>
  <w:style w:type="paragraph" w:styleId="Akapitzlist">
    <w:name w:val="List Paragraph"/>
    <w:basedOn w:val="Normalny"/>
    <w:rsid w:val="008E4DDF"/>
    <w:pPr>
      <w:ind w:left="720"/>
      <w:contextualSpacing/>
    </w:pPr>
  </w:style>
  <w:style w:type="paragraph" w:styleId="Tekstpodstawowy">
    <w:name w:val="Body Text"/>
    <w:basedOn w:val="Normalny"/>
    <w:link w:val="TekstpodstawowyZnak"/>
    <w:semiHidden/>
    <w:rsid w:val="008E4DDF"/>
    <w:pPr>
      <w:spacing w:after="120"/>
    </w:pPr>
  </w:style>
  <w:style w:type="character" w:customStyle="1" w:styleId="TekstpodstawowyZnak">
    <w:name w:val="Tekst podstawowy Znak"/>
    <w:basedOn w:val="Domylnaczcionkaakapitu"/>
    <w:link w:val="Tekstpodstawowy"/>
    <w:semiHidden/>
    <w:rsid w:val="008E4DDF"/>
    <w:rPr>
      <w:rFonts w:ascii="Times New Roman" w:eastAsia="Times New Roman" w:hAnsi="Times New Roman" w:cs="Times New Roman"/>
      <w:kern w:val="0"/>
      <w:sz w:val="20"/>
      <w:szCs w:val="20"/>
      <w:lang w:val="en-US"/>
      <w14:ligatures w14:val="none"/>
    </w:rPr>
  </w:style>
  <w:style w:type="table" w:styleId="Tabela-Siatka">
    <w:name w:val="Table Grid"/>
    <w:basedOn w:val="Standardowy"/>
    <w:rsid w:val="008E4DDF"/>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8E4DDF"/>
    <w:pPr>
      <w:tabs>
        <w:tab w:val="center" w:pos="4513"/>
        <w:tab w:val="right" w:pos="9026"/>
      </w:tabs>
      <w:spacing w:line="240" w:lineRule="auto"/>
    </w:pPr>
  </w:style>
  <w:style w:type="character" w:customStyle="1" w:styleId="StopkaZnak">
    <w:name w:val="Stopka Znak"/>
    <w:basedOn w:val="Domylnaczcionkaakapitu"/>
    <w:link w:val="Stopka"/>
    <w:uiPriority w:val="99"/>
    <w:rsid w:val="008E4DDF"/>
    <w:rPr>
      <w:rFonts w:ascii="Times New Roman" w:eastAsia="Times New Roman" w:hAnsi="Times New Roman" w:cs="Times New Roman"/>
      <w:kern w:val="0"/>
      <w:sz w:val="20"/>
      <w:szCs w:val="20"/>
      <w:lang w:val="en-US"/>
      <w14:ligatures w14:val="none"/>
    </w:rPr>
  </w:style>
  <w:style w:type="character" w:styleId="Numerstrony">
    <w:name w:val="page number"/>
    <w:basedOn w:val="Domylnaczcionkaakapitu"/>
    <w:uiPriority w:val="99"/>
    <w:semiHidden/>
    <w:unhideWhenUsed/>
    <w:rsid w:val="008E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owalski@examp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C70D0-8C1E-A648-A11E-7343D55A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Czerw</cp:lastModifiedBy>
  <cp:revision>2</cp:revision>
  <dcterms:created xsi:type="dcterms:W3CDTF">2023-12-19T07:35:00Z</dcterms:created>
  <dcterms:modified xsi:type="dcterms:W3CDTF">2023-12-19T07:35:00Z</dcterms:modified>
</cp:coreProperties>
</file>